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600" w:lineRule="exact"/>
        <w:jc w:val="center"/>
        <w:rPr>
          <w:rFonts w:ascii="苹方 常规" w:hAnsi="苹方 常规" w:eastAsia="苹方 常规"/>
          <w:b/>
          <w:sz w:val="52"/>
          <w:szCs w:val="52"/>
        </w:rPr>
      </w:pPr>
      <w:r>
        <w:rPr>
          <w:rFonts w:hint="eastAsia" w:ascii="苹方 常规" w:hAnsi="苹方 常规" w:eastAsia="苹方 常规"/>
          <w:b/>
          <w:sz w:val="52"/>
          <w:szCs w:val="52"/>
        </w:rPr>
        <w:t>测温机器人使用说明</w:t>
      </w:r>
    </w:p>
    <w:p>
      <w:pPr>
        <w:spacing w:beforeLines="50" w:afterLines="50" w:line="600" w:lineRule="exact"/>
        <w:jc w:val="center"/>
        <w:rPr>
          <w:rFonts w:ascii="苹方 常规" w:hAnsi="苹方 常规" w:eastAsia="苹方 常规"/>
          <w:b/>
          <w:sz w:val="52"/>
          <w:szCs w:val="52"/>
        </w:rPr>
      </w:pPr>
      <w:r>
        <w:rPr>
          <w:rFonts w:hint="eastAsia" w:ascii="苹方 常规" w:hAnsi="苹方 常规" w:eastAsia="苹方 常规"/>
          <w:b/>
          <w:sz w:val="36"/>
          <w:szCs w:val="36"/>
          <w:lang w:val="en-US" w:eastAsia="zh-CN"/>
        </w:rPr>
        <w:t>YKTCW</w:t>
      </w:r>
      <w:r>
        <w:rPr>
          <w:rFonts w:hint="eastAsia" w:ascii="苹方 常规" w:hAnsi="苹方 常规" w:eastAsia="苹方 常规"/>
          <w:b/>
          <w:sz w:val="36"/>
          <w:szCs w:val="36"/>
        </w:rPr>
        <w:t>-001</w:t>
      </w:r>
    </w:p>
    <w:p>
      <w:pPr>
        <w:jc w:val="center"/>
        <w:rPr>
          <w:rFonts w:ascii="苹方 常规" w:hAnsi="苹方 常规" w:eastAsia="苹方 常规"/>
        </w:rPr>
      </w:pPr>
      <w:r>
        <w:rPr>
          <w:rFonts w:ascii="苹方 常规" w:hAnsi="苹方 常规" w:eastAsia="苹方 常规"/>
        </w:rPr>
        <w:drawing>
          <wp:inline distT="0" distB="0" distL="0" distR="0">
            <wp:extent cx="1999615" cy="4396740"/>
            <wp:effectExtent l="0" t="0" r="0" b="0"/>
            <wp:docPr id="1" name="图片 1" descr="C:\Users\Administrator\Desktop\机器人测温管理系统-正面--2.png机器人测温管理系统-正面-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机器人测温管理系统-正面--2.png机器人测温管理系统-正面--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439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/>
        </w:rPr>
        <w:sectPr>
          <w:pgSz w:w="8392" w:h="11907"/>
          <w:pgMar w:top="1134" w:right="851" w:bottom="1134" w:left="851" w:header="851" w:footer="567" w:gutter="0"/>
          <w:pgNumType w:start="1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/>
        </w:rPr>
        <w:id w:val="147458841"/>
        <w:docPartObj>
          <w:docPartGallery w:val="Table of Contents"/>
          <w:docPartUnique/>
        </w:docPartObj>
      </w:sdtPr>
      <w:sdtEndPr>
        <w:rPr>
          <w:rFonts w:ascii="苹方 常规" w:hAnsi="苹方 常规" w:eastAsia="苹方 常规"/>
        </w:rPr>
      </w:sdtEndPr>
      <w:sdtContent>
        <w:p>
          <w:pPr>
            <w:jc w:val="center"/>
          </w:pPr>
          <w:r>
            <w:rPr>
              <w:rFonts w:ascii="宋体" w:hAnsi="宋体" w:eastAsia="宋体"/>
            </w:rPr>
            <w:t>目录</w:t>
          </w:r>
        </w:p>
        <w:p>
          <w:pPr>
            <w:pStyle w:val="10"/>
            <w:tabs>
              <w:tab w:val="right" w:leader="dot" w:pos="6690"/>
            </w:tabs>
          </w:pPr>
          <w:r>
            <w:rPr>
              <w:rFonts w:ascii="苹方 常规" w:hAnsi="苹方 常规" w:eastAsia="苹方 常规"/>
            </w:rPr>
            <w:fldChar w:fldCharType="begin"/>
          </w:r>
          <w:r>
            <w:rPr>
              <w:rFonts w:ascii="苹方 常规" w:hAnsi="苹方 常规" w:eastAsia="苹方 常规"/>
            </w:rPr>
            <w:instrText xml:space="preserve">TOC \o "1-1" \h \u </w:instrText>
          </w:r>
          <w:r>
            <w:rPr>
              <w:rFonts w:ascii="苹方 常规" w:hAnsi="苹方 常规" w:eastAsia="苹方 常规"/>
            </w:rPr>
            <w:fldChar w:fldCharType="separate"/>
          </w:r>
          <w:r>
            <w:fldChar w:fldCharType="begin"/>
          </w:r>
          <w:r>
            <w:instrText xml:space="preserve"> HYPERLINK \l "_Toc31659" </w:instrText>
          </w:r>
          <w:r>
            <w:fldChar w:fldCharType="separate"/>
          </w:r>
          <w:r>
            <w:rPr>
              <w:rFonts w:hint="eastAsia" w:ascii="苹方 常规" w:hAnsi="苹方 常规" w:eastAsia="苹方 常规"/>
              <w:szCs w:val="36"/>
            </w:rPr>
            <w:t>产品使用指南</w:t>
          </w:r>
          <w:r>
            <w:tab/>
          </w:r>
          <w:r>
            <w:fldChar w:fldCharType="begin"/>
          </w:r>
          <w:r>
            <w:instrText xml:space="preserve"> PAGEREF _Toc31659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6690"/>
            </w:tabs>
          </w:pPr>
          <w:r>
            <w:fldChar w:fldCharType="begin"/>
          </w:r>
          <w:r>
            <w:instrText xml:space="preserve"> HYPERLINK \l "_Toc2134" </w:instrText>
          </w:r>
          <w:r>
            <w:fldChar w:fldCharType="separate"/>
          </w:r>
          <w:r>
            <w:rPr>
              <w:rFonts w:ascii="苹方 常规" w:hAnsi="苹方 常规" w:eastAsia="苹方 常规"/>
            </w:rPr>
            <w:t xml:space="preserve">1. </w:t>
          </w:r>
          <w:r>
            <w:rPr>
              <w:rFonts w:hint="eastAsia" w:ascii="苹方 常规" w:hAnsi="苹方 常规" w:eastAsia="苹方 常规"/>
            </w:rPr>
            <w:t>产品概述</w:t>
          </w:r>
          <w:r>
            <w:tab/>
          </w:r>
          <w:r>
            <w:fldChar w:fldCharType="begin"/>
          </w:r>
          <w:r>
            <w:instrText xml:space="preserve"> PAGEREF _Toc2134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6690"/>
            </w:tabs>
          </w:pPr>
          <w:r>
            <w:fldChar w:fldCharType="begin"/>
          </w:r>
          <w:r>
            <w:instrText xml:space="preserve"> HYPERLINK \l "_Toc845" </w:instrText>
          </w:r>
          <w:r>
            <w:fldChar w:fldCharType="separate"/>
          </w:r>
          <w:r>
            <w:rPr>
              <w:rFonts w:ascii="苹方 常规" w:hAnsi="苹方 常规" w:eastAsia="苹方 常规"/>
            </w:rPr>
            <w:t xml:space="preserve">2. </w:t>
          </w:r>
          <w:r>
            <w:rPr>
              <w:rFonts w:hint="eastAsia" w:ascii="苹方 常规" w:hAnsi="苹方 常规" w:eastAsia="苹方 常规"/>
            </w:rPr>
            <w:t>产品特点</w:t>
          </w:r>
          <w:r>
            <w:tab/>
          </w:r>
          <w:r>
            <w:fldChar w:fldCharType="begin"/>
          </w:r>
          <w:r>
            <w:instrText xml:space="preserve"> PAGEREF _Toc845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6690"/>
            </w:tabs>
          </w:pPr>
          <w:r>
            <w:fldChar w:fldCharType="begin"/>
          </w:r>
          <w:r>
            <w:instrText xml:space="preserve"> HYPERLINK \l "_Toc7284" </w:instrText>
          </w:r>
          <w:r>
            <w:fldChar w:fldCharType="separate"/>
          </w:r>
          <w:r>
            <w:rPr>
              <w:rFonts w:ascii="苹方 常规" w:hAnsi="苹方 常规" w:eastAsia="苹方 常规"/>
            </w:rPr>
            <w:t xml:space="preserve">3. </w:t>
          </w:r>
          <w:r>
            <w:rPr>
              <w:rFonts w:hint="eastAsia" w:ascii="苹方 常规" w:hAnsi="苹方 常规" w:eastAsia="苹方 常规"/>
            </w:rPr>
            <w:t>系统硬件技术参数</w:t>
          </w:r>
          <w:r>
            <w:tab/>
          </w:r>
          <w:r>
            <w:fldChar w:fldCharType="begin"/>
          </w:r>
          <w:r>
            <w:instrText xml:space="preserve"> PAGEREF _Toc7284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6690"/>
            </w:tabs>
          </w:pPr>
          <w:r>
            <w:fldChar w:fldCharType="begin"/>
          </w:r>
          <w:r>
            <w:instrText xml:space="preserve"> HYPERLINK \l "_Toc11273" </w:instrText>
          </w:r>
          <w:r>
            <w:fldChar w:fldCharType="separate"/>
          </w:r>
          <w:r>
            <w:rPr>
              <w:rFonts w:ascii="苹方 常规" w:hAnsi="苹方 常规" w:eastAsia="苹方 常规"/>
            </w:rPr>
            <w:t xml:space="preserve">4. </w:t>
          </w:r>
          <w:r>
            <w:rPr>
              <w:rFonts w:hint="eastAsia" w:ascii="苹方 常规" w:hAnsi="苹方 常规" w:eastAsia="苹方 常规"/>
            </w:rPr>
            <w:t>热成像测温模组技术参数</w:t>
          </w:r>
          <w:r>
            <w:tab/>
          </w:r>
          <w:r>
            <w:fldChar w:fldCharType="begin"/>
          </w:r>
          <w:r>
            <w:instrText xml:space="preserve"> PAGEREF _Toc11273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6690"/>
            </w:tabs>
            <w:spacing w:line="480" w:lineRule="auto"/>
          </w:pPr>
          <w:r>
            <w:fldChar w:fldCharType="begin"/>
          </w:r>
          <w:r>
            <w:instrText xml:space="preserve"> HYPERLINK \l "_Toc16539" </w:instrText>
          </w:r>
          <w:r>
            <w:fldChar w:fldCharType="separate"/>
          </w:r>
          <w:r>
            <w:rPr>
              <w:rFonts w:hint="eastAsia"/>
            </w:rPr>
            <w:t>5. 产品技术参数</w:t>
          </w:r>
          <w:r>
            <w:tab/>
          </w:r>
          <w:r>
            <w:fldChar w:fldCharType="begin"/>
          </w:r>
          <w:r>
            <w:instrText xml:space="preserve"> PAGEREF _Toc16539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6690"/>
            </w:tabs>
            <w:spacing w:line="480" w:lineRule="auto"/>
          </w:pPr>
          <w:r>
            <w:fldChar w:fldCharType="begin"/>
          </w:r>
          <w:r>
            <w:instrText xml:space="preserve"> HYPERLINK \l "_Toc31650" </w:instrText>
          </w:r>
          <w:r>
            <w:fldChar w:fldCharType="separate"/>
          </w:r>
          <w:r>
            <w:t xml:space="preserve">6. </w:t>
          </w:r>
          <w:r>
            <w:rPr>
              <w:rFonts w:hint="eastAsia"/>
            </w:rPr>
            <w:t>设备接口定义</w:t>
          </w:r>
          <w:r>
            <w:tab/>
          </w:r>
          <w:r>
            <w:fldChar w:fldCharType="begin"/>
          </w:r>
          <w:r>
            <w:instrText xml:space="preserve"> PAGEREF _Toc31650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6690"/>
            </w:tabs>
          </w:pPr>
          <w:r>
            <w:fldChar w:fldCharType="begin"/>
          </w:r>
          <w:r>
            <w:instrText xml:space="preserve"> HYPERLINK \l "_Toc22598" </w:instrText>
          </w:r>
          <w:r>
            <w:fldChar w:fldCharType="separate"/>
          </w:r>
          <w:r>
            <w:rPr>
              <w:rFonts w:ascii="苹方 常规" w:hAnsi="苹方 常规" w:eastAsia="苹方 常规"/>
            </w:rPr>
            <w:t xml:space="preserve">7. </w:t>
          </w:r>
          <w:r>
            <w:rPr>
              <w:rFonts w:hint="eastAsia" w:ascii="苹方 常规" w:hAnsi="苹方 常规" w:eastAsia="苹方 常规"/>
            </w:rPr>
            <w:t>功能介绍</w:t>
          </w:r>
          <w:r>
            <w:tab/>
          </w:r>
          <w:r>
            <w:fldChar w:fldCharType="begin"/>
          </w:r>
          <w:r>
            <w:instrText xml:space="preserve"> PAGEREF _Toc22598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6690"/>
            </w:tabs>
          </w:pPr>
          <w:r>
            <w:fldChar w:fldCharType="begin"/>
          </w:r>
          <w:r>
            <w:instrText xml:space="preserve"> HYPERLINK \l "_Toc29024" </w:instrText>
          </w:r>
          <w:r>
            <w:fldChar w:fldCharType="separate"/>
          </w:r>
          <w:r>
            <w:rPr>
              <w:rFonts w:ascii="苹方 常规" w:hAnsi="苹方 常规" w:eastAsia="苹方 常规"/>
            </w:rPr>
            <w:t xml:space="preserve">8. </w:t>
          </w:r>
          <w:r>
            <w:rPr>
              <w:rFonts w:hint="eastAsia" w:ascii="苹方 常规" w:hAnsi="苹方 常规" w:eastAsia="苹方 常规"/>
            </w:rPr>
            <w:t>设备安装</w:t>
          </w:r>
          <w:r>
            <w:tab/>
          </w:r>
          <w:r>
            <w:fldChar w:fldCharType="begin"/>
          </w:r>
          <w:r>
            <w:instrText xml:space="preserve"> PAGEREF _Toc29024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6690"/>
            </w:tabs>
          </w:pPr>
          <w:r>
            <w:fldChar w:fldCharType="begin"/>
          </w:r>
          <w:r>
            <w:instrText xml:space="preserve"> HYPERLINK \l "_Toc20590" </w:instrText>
          </w:r>
          <w:r>
            <w:fldChar w:fldCharType="separate"/>
          </w:r>
          <w:r>
            <w:rPr>
              <w:rFonts w:ascii="苹方 常规" w:hAnsi="苹方 常规" w:eastAsia="苹方 常规"/>
            </w:rPr>
            <w:t xml:space="preserve">9. </w:t>
          </w:r>
          <w:r>
            <w:rPr>
              <w:rFonts w:hint="eastAsia" w:ascii="苹方 常规" w:hAnsi="苹方 常规" w:eastAsia="苹方 常规"/>
            </w:rPr>
            <w:t>软件使用说明</w:t>
          </w:r>
          <w:r>
            <w:tab/>
          </w:r>
          <w:r>
            <w:fldChar w:fldCharType="begin"/>
          </w:r>
          <w:r>
            <w:instrText xml:space="preserve"> PAGEREF _Toc20590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6690"/>
            </w:tabs>
          </w:pPr>
          <w:r>
            <w:fldChar w:fldCharType="begin"/>
          </w:r>
          <w:r>
            <w:instrText xml:space="preserve"> HYPERLINK \l "_Toc19940" </w:instrText>
          </w:r>
          <w:r>
            <w:fldChar w:fldCharType="separate"/>
          </w:r>
          <w:r>
            <w:rPr>
              <w:rFonts w:ascii="苹方 常规" w:hAnsi="苹方 常规" w:eastAsia="苹方 常规"/>
            </w:rPr>
            <w:t xml:space="preserve">10. </w:t>
          </w:r>
          <w:r>
            <w:rPr>
              <w:rFonts w:hint="eastAsia" w:ascii="苹方 常规" w:hAnsi="苹方 常规" w:eastAsia="苹方 常规"/>
            </w:rPr>
            <w:t>人脸云平台</w:t>
          </w:r>
          <w:r>
            <w:tab/>
          </w:r>
          <w:r>
            <w:fldChar w:fldCharType="begin"/>
          </w:r>
          <w:r>
            <w:instrText xml:space="preserve"> PAGEREF _Toc19940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6690"/>
            </w:tabs>
          </w:pPr>
          <w:r>
            <w:fldChar w:fldCharType="begin"/>
          </w:r>
          <w:r>
            <w:instrText xml:space="preserve"> HYPERLINK \l "_Toc30865" </w:instrText>
          </w:r>
          <w:r>
            <w:fldChar w:fldCharType="separate"/>
          </w:r>
          <w:r>
            <w:rPr>
              <w:rFonts w:hint="eastAsia" w:ascii="苹方 常规" w:hAnsi="苹方 常规" w:eastAsia="苹方 常规" w:cs="苹方 常规"/>
              <w:bCs/>
              <w:szCs w:val="32"/>
            </w:rPr>
            <w:t>11.产品装箱清单</w:t>
          </w:r>
          <w:r>
            <w:tab/>
          </w:r>
          <w:r>
            <w:fldChar w:fldCharType="begin"/>
          </w:r>
          <w:r>
            <w:instrText xml:space="preserve"> PAGEREF _Toc30865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6690"/>
            </w:tabs>
          </w:pPr>
          <w:r>
            <w:fldChar w:fldCharType="begin"/>
          </w:r>
          <w:r>
            <w:instrText xml:space="preserve"> HYPERLINK \l "_Toc30347" </w:instrText>
          </w:r>
          <w:r>
            <w:fldChar w:fldCharType="separate"/>
          </w:r>
          <w:r>
            <w:rPr>
              <w:rFonts w:hint="eastAsia" w:ascii="苹方 常规" w:hAnsi="苹方 常规" w:eastAsia="苹方 常规"/>
              <w:szCs w:val="36"/>
            </w:rPr>
            <w:t>安全使用注意事项</w:t>
          </w:r>
          <w:r>
            <w:tab/>
          </w:r>
          <w:r>
            <w:fldChar w:fldCharType="begin"/>
          </w:r>
          <w:r>
            <w:instrText xml:space="preserve"> PAGEREF _Toc30347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jc w:val="center"/>
            <w:rPr>
              <w:rFonts w:ascii="苹方 常规" w:hAnsi="苹方 常规" w:eastAsia="苹方 常规"/>
            </w:rPr>
          </w:pPr>
          <w:r>
            <w:rPr>
              <w:rFonts w:ascii="苹方 常规" w:hAnsi="苹方 常规" w:eastAsia="苹方 常规"/>
            </w:rPr>
            <w:fldChar w:fldCharType="end"/>
          </w:r>
        </w:p>
      </w:sdtContent>
    </w:sdt>
    <w:p>
      <w:pPr>
        <w:spacing w:beforeLines="150"/>
        <w:jc w:val="center"/>
        <w:outlineLvl w:val="0"/>
        <w:rPr>
          <w:rFonts w:ascii="苹方 常规" w:hAnsi="苹方 常规" w:eastAsia="苹方 常规"/>
          <w:b/>
          <w:sz w:val="36"/>
          <w:szCs w:val="36"/>
        </w:rPr>
      </w:pPr>
      <w:bookmarkStart w:id="0" w:name="_Toc31659"/>
      <w:r>
        <w:rPr>
          <w:rFonts w:hint="eastAsia" w:ascii="苹方 常规" w:hAnsi="苹方 常规" w:eastAsia="苹方 常规"/>
          <w:b/>
          <w:sz w:val="36"/>
          <w:szCs w:val="36"/>
        </w:rPr>
        <w:t>产品使用指南</w:t>
      </w:r>
      <w:bookmarkEnd w:id="0"/>
    </w:p>
    <w:p>
      <w:pPr>
        <w:spacing w:afterLines="100" w:line="280" w:lineRule="exact"/>
        <w:jc w:val="center"/>
        <w:rPr>
          <w:rFonts w:ascii="苹方 常规" w:hAnsi="苹方 常规" w:eastAsia="苹方 常规"/>
          <w:b/>
          <w:szCs w:val="21"/>
        </w:rPr>
      </w:pPr>
      <w:r>
        <w:rPr>
          <w:rFonts w:hint="eastAsia" w:ascii="苹方 常规" w:hAnsi="苹方 常规" w:eastAsia="苹方 常规"/>
          <w:b/>
          <w:szCs w:val="21"/>
        </w:rPr>
        <w:t>为保证正确使用产品，请在使用之前，仔细阅读此指南</w:t>
      </w:r>
    </w:p>
    <w:p>
      <w:pPr>
        <w:spacing w:afterLines="50" w:line="320" w:lineRule="exact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1.</w:t>
      </w:r>
      <w:r>
        <w:rPr>
          <w:rFonts w:ascii="苹方 常规" w:hAnsi="苹方 常规" w:eastAsia="苹方 常规"/>
          <w:sz w:val="19"/>
          <w:szCs w:val="19"/>
        </w:rPr>
        <w:t xml:space="preserve"> </w:t>
      </w:r>
      <w:r>
        <w:rPr>
          <w:rFonts w:hint="eastAsia" w:ascii="苹方 常规" w:hAnsi="苹方 常规" w:eastAsia="苹方 常规"/>
          <w:sz w:val="19"/>
          <w:szCs w:val="19"/>
        </w:rPr>
        <w:t>本产品的最佳测温距离为</w:t>
      </w:r>
      <w:r>
        <w:rPr>
          <w:rFonts w:ascii="苹方 常规" w:hAnsi="苹方 常规" w:eastAsia="苹方 常规"/>
          <w:sz w:val="19"/>
          <w:szCs w:val="19"/>
        </w:rPr>
        <w:t xml:space="preserve">0.5 </w:t>
      </w:r>
      <w:r>
        <w:rPr>
          <w:rFonts w:hint="eastAsia" w:ascii="苹方 常规" w:hAnsi="苹方 常规" w:eastAsia="苹方 常规"/>
          <w:sz w:val="19"/>
          <w:szCs w:val="19"/>
        </w:rPr>
        <w:t>-</w:t>
      </w:r>
      <w:r>
        <w:rPr>
          <w:rFonts w:ascii="苹方 常规" w:hAnsi="苹方 常规" w:eastAsia="苹方 常规"/>
          <w:sz w:val="19"/>
          <w:szCs w:val="19"/>
        </w:rPr>
        <w:t xml:space="preserve"> 2.5</w:t>
      </w:r>
      <w:r>
        <w:rPr>
          <w:rFonts w:hint="eastAsia" w:ascii="苹方 常规" w:hAnsi="苹方 常规" w:eastAsia="苹方 常规"/>
          <w:sz w:val="19"/>
          <w:szCs w:val="19"/>
        </w:rPr>
        <w:t>米，距离过近容易出现高温误报情况；距离过远测温误差太大；</w:t>
      </w:r>
    </w:p>
    <w:p>
      <w:pPr>
        <w:spacing w:afterLines="50" w:line="320" w:lineRule="exact"/>
        <w:ind w:left="285" w:hanging="285" w:hangingChars="150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2.</w:t>
      </w:r>
      <w:r>
        <w:rPr>
          <w:rFonts w:ascii="苹方 常规" w:hAnsi="苹方 常规" w:eastAsia="苹方 常规"/>
          <w:sz w:val="19"/>
          <w:szCs w:val="19"/>
        </w:rPr>
        <w:t xml:space="preserve"> </w:t>
      </w:r>
      <w:r>
        <w:rPr>
          <w:rFonts w:hint="eastAsia" w:ascii="苹方 常规" w:hAnsi="苹方 常规" w:eastAsia="苹方 常规"/>
          <w:sz w:val="19"/>
          <w:szCs w:val="19"/>
        </w:rPr>
        <w:t>为保证测温精度，建议在温度稳定的环境（1</w:t>
      </w:r>
      <w:r>
        <w:rPr>
          <w:rFonts w:ascii="苹方 常规" w:hAnsi="苹方 常规" w:eastAsia="苹方 常规"/>
          <w:sz w:val="19"/>
          <w:szCs w:val="19"/>
        </w:rPr>
        <w:t>0</w:t>
      </w:r>
      <w:r>
        <w:rPr>
          <w:rFonts w:hint="eastAsia" w:ascii="苹方 常规" w:hAnsi="苹方 常规" w:eastAsia="苹方 常规"/>
          <w:sz w:val="19"/>
          <w:szCs w:val="19"/>
        </w:rPr>
        <w:t>~</w:t>
      </w:r>
      <w:r>
        <w:rPr>
          <w:rFonts w:ascii="苹方 常规" w:hAnsi="苹方 常规" w:eastAsia="苹方 常规"/>
          <w:sz w:val="19"/>
          <w:szCs w:val="19"/>
        </w:rPr>
        <w:t>35</w:t>
      </w:r>
      <w:r>
        <w:rPr>
          <w:rFonts w:hint="eastAsia" w:ascii="苹方 常规" w:hAnsi="苹方 常规" w:eastAsia="苹方 常规"/>
          <w:sz w:val="19"/>
          <w:szCs w:val="19"/>
        </w:rPr>
        <w:t>℃），R</w:t>
      </w:r>
      <w:r>
        <w:rPr>
          <w:rFonts w:ascii="苹方 常规" w:hAnsi="苹方 常规" w:eastAsia="苹方 常规"/>
          <w:sz w:val="19"/>
          <w:szCs w:val="19"/>
        </w:rPr>
        <w:t>H&lt;85</w:t>
      </w:r>
      <w:r>
        <w:rPr>
          <w:rFonts w:hint="eastAsia" w:ascii="苹方 常规" w:hAnsi="苹方 常规" w:eastAsia="苹方 常规"/>
          <w:sz w:val="19"/>
          <w:szCs w:val="19"/>
        </w:rPr>
        <w:t>%（非冷凝）下使用；</w:t>
      </w:r>
    </w:p>
    <w:p>
      <w:pPr>
        <w:spacing w:afterLines="50" w:line="320" w:lineRule="exact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3</w:t>
      </w:r>
      <w:r>
        <w:rPr>
          <w:rFonts w:ascii="苹方 常规" w:hAnsi="苹方 常规" w:eastAsia="苹方 常规"/>
          <w:sz w:val="19"/>
          <w:szCs w:val="19"/>
        </w:rPr>
        <w:t xml:space="preserve">. </w:t>
      </w:r>
      <w:r>
        <w:rPr>
          <w:rFonts w:hint="eastAsia" w:ascii="苹方 常规" w:hAnsi="苹方 常规" w:eastAsia="苹方 常规"/>
          <w:sz w:val="19"/>
          <w:szCs w:val="19"/>
        </w:rPr>
        <w:t>室外环境多变，建议在室内无风环境下使用；</w:t>
      </w:r>
    </w:p>
    <w:p>
      <w:pPr>
        <w:spacing w:afterLines="50" w:line="320" w:lineRule="exact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4</w:t>
      </w:r>
      <w:r>
        <w:rPr>
          <w:rFonts w:ascii="苹方 常规" w:hAnsi="苹方 常规" w:eastAsia="苹方 常规"/>
          <w:sz w:val="19"/>
          <w:szCs w:val="19"/>
        </w:rPr>
        <w:t xml:space="preserve">. </w:t>
      </w:r>
      <w:r>
        <w:rPr>
          <w:rFonts w:hint="eastAsia" w:ascii="苹方 常规" w:hAnsi="苹方 常规" w:eastAsia="苹方 常规"/>
          <w:sz w:val="19"/>
          <w:szCs w:val="19"/>
        </w:rPr>
        <w:t>在新环境使用时，请先将设备开机，放置1</w:t>
      </w:r>
      <w:r>
        <w:rPr>
          <w:rFonts w:ascii="苹方 常规" w:hAnsi="苹方 常规" w:eastAsia="苹方 常规"/>
          <w:sz w:val="19"/>
          <w:szCs w:val="19"/>
        </w:rPr>
        <w:t>0</w:t>
      </w:r>
      <w:r>
        <w:rPr>
          <w:rFonts w:hint="eastAsia" w:ascii="苹方 常规" w:hAnsi="苹方 常规" w:eastAsia="苹方 常规"/>
          <w:sz w:val="19"/>
          <w:szCs w:val="19"/>
        </w:rPr>
        <w:t>分钟在测温使用；</w:t>
      </w:r>
    </w:p>
    <w:p>
      <w:pPr>
        <w:spacing w:afterLines="50" w:line="320" w:lineRule="exact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5</w:t>
      </w:r>
      <w:r>
        <w:rPr>
          <w:rFonts w:ascii="苹方 常规" w:hAnsi="苹方 常规" w:eastAsia="苹方 常规"/>
          <w:sz w:val="19"/>
          <w:szCs w:val="19"/>
        </w:rPr>
        <w:t xml:space="preserve">. </w:t>
      </w:r>
      <w:r>
        <w:rPr>
          <w:rFonts w:hint="eastAsia" w:ascii="苹方 常规" w:hAnsi="苹方 常规" w:eastAsia="苹方 常规"/>
          <w:sz w:val="19"/>
          <w:szCs w:val="19"/>
        </w:rPr>
        <w:t>测温环境需要稳定，不能在风扇、空调、暖气出风口等气流较大的地方测量；</w:t>
      </w:r>
    </w:p>
    <w:p>
      <w:pPr>
        <w:spacing w:afterLines="50" w:line="320" w:lineRule="exact"/>
        <w:ind w:left="266" w:hanging="266" w:hangingChars="140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6</w:t>
      </w:r>
      <w:r>
        <w:rPr>
          <w:rFonts w:ascii="苹方 常规" w:hAnsi="苹方 常规" w:eastAsia="苹方 常规"/>
          <w:sz w:val="19"/>
          <w:szCs w:val="19"/>
        </w:rPr>
        <w:t xml:space="preserve">. </w:t>
      </w:r>
      <w:r>
        <w:rPr>
          <w:rFonts w:hint="eastAsia" w:ascii="苹方 常规" w:hAnsi="苹方 常规" w:eastAsia="苹方 常规"/>
          <w:sz w:val="19"/>
          <w:szCs w:val="19"/>
        </w:rPr>
        <w:t>当测温对象来自于测温环境偏差较大的地方时（比如：在冬天寒冷的室外进来），需要在测温环境内停留1</w:t>
      </w:r>
      <w:r>
        <w:rPr>
          <w:rFonts w:ascii="苹方 常规" w:hAnsi="苹方 常规" w:eastAsia="苹方 常规"/>
          <w:sz w:val="19"/>
          <w:szCs w:val="19"/>
        </w:rPr>
        <w:t>0</w:t>
      </w:r>
      <w:r>
        <w:rPr>
          <w:rFonts w:hint="eastAsia" w:ascii="苹方 常规" w:hAnsi="苹方 常规" w:eastAsia="苹方 常规"/>
          <w:sz w:val="19"/>
          <w:szCs w:val="19"/>
        </w:rPr>
        <w:t>分钟左右在测温，已确保测温的准确性；</w:t>
      </w:r>
    </w:p>
    <w:p>
      <w:pPr>
        <w:spacing w:afterLines="50" w:line="320" w:lineRule="exact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7</w:t>
      </w:r>
      <w:r>
        <w:rPr>
          <w:rFonts w:ascii="苹方 常规" w:hAnsi="苹方 常规" w:eastAsia="苹方 常规"/>
          <w:sz w:val="19"/>
          <w:szCs w:val="19"/>
        </w:rPr>
        <w:t xml:space="preserve">. </w:t>
      </w:r>
      <w:r>
        <w:rPr>
          <w:rFonts w:hint="eastAsia" w:ascii="苹方 常规" w:hAnsi="苹方 常规" w:eastAsia="苹方 常规"/>
          <w:sz w:val="19"/>
          <w:szCs w:val="19"/>
        </w:rPr>
        <w:t>测温摄像机具有自我温度校准功能，如温度值有轻微的跳动，属于正常现象；</w:t>
      </w:r>
    </w:p>
    <w:p>
      <w:pPr>
        <w:spacing w:afterLines="50" w:line="320" w:lineRule="exact"/>
        <w:ind w:left="266" w:hanging="266" w:hangingChars="140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8</w:t>
      </w:r>
      <w:r>
        <w:rPr>
          <w:rFonts w:ascii="苹方 常规" w:hAnsi="苹方 常规" w:eastAsia="苹方 常规"/>
          <w:sz w:val="19"/>
          <w:szCs w:val="19"/>
        </w:rPr>
        <w:t xml:space="preserve">. </w:t>
      </w:r>
      <w:r>
        <w:rPr>
          <w:rFonts w:hint="eastAsia" w:ascii="苹方 常规" w:hAnsi="苹方 常规" w:eastAsia="苹方 常规"/>
          <w:sz w:val="19"/>
          <w:szCs w:val="19"/>
        </w:rPr>
        <w:t>请勿在测量极高温或极低温后，立刻测量其他人的温度，请间隔十分钟左右再进行测量；</w:t>
      </w:r>
    </w:p>
    <w:p>
      <w:pPr>
        <w:spacing w:afterLines="50" w:line="320" w:lineRule="exact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9</w:t>
      </w:r>
      <w:r>
        <w:rPr>
          <w:rFonts w:ascii="苹方 常规" w:hAnsi="苹方 常规" w:eastAsia="苹方 常规"/>
          <w:sz w:val="19"/>
          <w:szCs w:val="19"/>
        </w:rPr>
        <w:t xml:space="preserve">. </w:t>
      </w:r>
      <w:r>
        <w:rPr>
          <w:rFonts w:hint="eastAsia" w:ascii="苹方 常规" w:hAnsi="苹方 常规" w:eastAsia="苹方 常规"/>
          <w:sz w:val="19"/>
          <w:szCs w:val="19"/>
        </w:rPr>
        <w:t>为确保测温准确度，不建议在阳光强烈，直射环境下使用；</w:t>
      </w:r>
    </w:p>
    <w:p>
      <w:pPr>
        <w:spacing w:afterLines="50" w:line="320" w:lineRule="exact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1</w:t>
      </w:r>
      <w:r>
        <w:rPr>
          <w:rFonts w:ascii="苹方 常规" w:hAnsi="苹方 常规" w:eastAsia="苹方 常规"/>
          <w:sz w:val="19"/>
          <w:szCs w:val="19"/>
        </w:rPr>
        <w:t xml:space="preserve">0. </w:t>
      </w:r>
      <w:r>
        <w:rPr>
          <w:rFonts w:hint="eastAsia" w:ascii="苹方 常规" w:hAnsi="苹方 常规" w:eastAsia="苹方 常规"/>
          <w:sz w:val="19"/>
          <w:szCs w:val="19"/>
        </w:rPr>
        <w:t>请勿在电磁干扰较强的场所使用该设备；</w:t>
      </w:r>
    </w:p>
    <w:p>
      <w:pPr>
        <w:spacing w:afterLines="50" w:line="320" w:lineRule="exact"/>
        <w:rPr>
          <w:rFonts w:ascii="苹方 常规" w:hAnsi="苹方 常规" w:eastAsia="苹方 常规"/>
          <w:sz w:val="19"/>
          <w:szCs w:val="19"/>
        </w:rPr>
      </w:pPr>
    </w:p>
    <w:p>
      <w:pPr>
        <w:spacing w:afterLines="100" w:line="400" w:lineRule="exact"/>
        <w:ind w:left="580" w:hanging="580" w:hangingChars="290"/>
        <w:jc w:val="left"/>
        <w:rPr>
          <w:rFonts w:ascii="苹方 常规" w:hAnsi="苹方 常规" w:eastAsia="苹方 常规"/>
          <w:sz w:val="20"/>
          <w:szCs w:val="20"/>
        </w:rPr>
      </w:pPr>
    </w:p>
    <w:p>
      <w:pPr>
        <w:spacing w:afterLines="100" w:line="400" w:lineRule="exact"/>
        <w:ind w:left="580" w:hanging="580" w:hangingChars="290"/>
        <w:jc w:val="left"/>
        <w:rPr>
          <w:rFonts w:ascii="苹方 常规" w:hAnsi="苹方 常规" w:eastAsia="苹方 常规"/>
          <w:sz w:val="20"/>
          <w:szCs w:val="20"/>
        </w:rPr>
      </w:pPr>
    </w:p>
    <w:p>
      <w:pPr>
        <w:pStyle w:val="3"/>
        <w:spacing w:before="0"/>
        <w:ind w:left="420" w:leftChars="200"/>
        <w:rPr>
          <w:rFonts w:ascii="苹方 常规" w:hAnsi="苹方 常规" w:eastAsia="苹方 常规"/>
        </w:rPr>
      </w:pPr>
      <w:bookmarkStart w:id="1" w:name="_Toc2134"/>
      <w:r>
        <w:rPr>
          <w:rFonts w:hint="eastAsia" w:ascii="苹方 常规" w:hAnsi="苹方 常规" w:eastAsia="苹方 常规"/>
        </w:rPr>
        <w:t>产品概述</w:t>
      </w:r>
      <w:bookmarkEnd w:id="1"/>
    </w:p>
    <w:p>
      <w:pPr>
        <w:spacing w:line="360" w:lineRule="exact"/>
        <w:ind w:left="420" w:leftChars="200" w:firstLine="380" w:firstLineChars="200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A</w:t>
      </w:r>
      <w:r>
        <w:rPr>
          <w:rFonts w:ascii="苹方 常规" w:hAnsi="苹方 常规" w:eastAsia="苹方 常规"/>
          <w:sz w:val="19"/>
          <w:szCs w:val="19"/>
        </w:rPr>
        <w:t>I</w:t>
      </w:r>
      <w:r>
        <w:rPr>
          <w:rFonts w:hint="eastAsia" w:ascii="苹方 常规" w:hAnsi="苹方 常规" w:eastAsia="苹方 常规"/>
          <w:sz w:val="19"/>
          <w:szCs w:val="19"/>
        </w:rPr>
        <w:t>多人测温热成像智能系统产品，由多人测温摄像机和显示屏组成。测温摄像机集成高精度热成像传感器，内置人脸智能抓拍算法，I</w:t>
      </w:r>
      <w:r>
        <w:rPr>
          <w:rFonts w:ascii="苹方 常规" w:hAnsi="苹方 常规" w:eastAsia="苹方 常规"/>
          <w:sz w:val="19"/>
          <w:szCs w:val="19"/>
        </w:rPr>
        <w:t>SP</w:t>
      </w:r>
      <w:r>
        <w:rPr>
          <w:rFonts w:hint="eastAsia" w:ascii="苹方 常规" w:hAnsi="苹方 常规" w:eastAsia="苹方 常规"/>
          <w:sz w:val="19"/>
          <w:szCs w:val="19"/>
        </w:rPr>
        <w:t>图像处理等技术与一体的A</w:t>
      </w:r>
      <w:r>
        <w:rPr>
          <w:rFonts w:ascii="苹方 常规" w:hAnsi="苹方 常规" w:eastAsia="苹方 常规"/>
          <w:sz w:val="19"/>
          <w:szCs w:val="19"/>
        </w:rPr>
        <w:t>I</w:t>
      </w:r>
      <w:r>
        <w:rPr>
          <w:rFonts w:hint="eastAsia" w:ascii="苹方 常规" w:hAnsi="苹方 常规" w:eastAsia="苹方 常规"/>
          <w:sz w:val="19"/>
          <w:szCs w:val="19"/>
        </w:rPr>
        <w:t>智能产品。具备人脸检测、体温监测、人脸抓拍等强大功能。可精确捕获通过摄像机视野的人员的体温和人脸图片。可有效帮助用户检测出入人员的体温状态，有助于防范疫情。广泛应用于学校、写字楼、车站等出入口场景。</w:t>
      </w:r>
    </w:p>
    <w:p>
      <w:pPr>
        <w:pStyle w:val="3"/>
        <w:spacing w:before="360"/>
        <w:ind w:left="420" w:leftChars="200"/>
        <w:rPr>
          <w:rFonts w:ascii="苹方 常规" w:hAnsi="苹方 常规" w:eastAsia="苹方 常规"/>
        </w:rPr>
      </w:pPr>
      <w:bookmarkStart w:id="2" w:name="_Toc845"/>
      <w:r>
        <w:rPr>
          <w:rFonts w:hint="eastAsia" w:ascii="苹方 常规" w:hAnsi="苹方 常规" w:eastAsia="苹方 常规"/>
        </w:rPr>
        <w:t>产品特点</w:t>
      </w:r>
      <w:bookmarkEnd w:id="2"/>
    </w:p>
    <w:p>
      <w:pPr>
        <w:pStyle w:val="20"/>
        <w:numPr>
          <w:ilvl w:val="0"/>
          <w:numId w:val="3"/>
        </w:numPr>
        <w:spacing w:afterLines="50" w:line="280" w:lineRule="exact"/>
        <w:ind w:left="420" w:leftChars="200" w:firstLineChars="0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行业首创内置温度校准算法</w:t>
      </w:r>
      <w:r>
        <w:rPr>
          <w:rFonts w:ascii="苹方 常规" w:hAnsi="苹方 常规" w:eastAsia="苹方 常规"/>
          <w:sz w:val="19"/>
          <w:szCs w:val="19"/>
        </w:rPr>
        <w:t>,确保温度误差土0.3°C</w:t>
      </w:r>
      <w:r>
        <w:rPr>
          <w:rFonts w:hint="eastAsia" w:ascii="苹方 常规" w:hAnsi="苹方 常规" w:eastAsia="苹方 常规"/>
          <w:sz w:val="19"/>
          <w:szCs w:val="19"/>
        </w:rPr>
        <w:t>；</w:t>
      </w:r>
    </w:p>
    <w:p>
      <w:pPr>
        <w:pStyle w:val="20"/>
        <w:numPr>
          <w:ilvl w:val="0"/>
          <w:numId w:val="3"/>
        </w:numPr>
        <w:spacing w:afterLines="50" w:line="280" w:lineRule="exact"/>
        <w:ind w:left="420" w:leftChars="200" w:firstLineChars="0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行业首创恒温调控系统</w:t>
      </w:r>
      <w:r>
        <w:rPr>
          <w:rFonts w:ascii="苹方 常规" w:hAnsi="苹方 常规" w:eastAsia="苹方 常规"/>
          <w:sz w:val="19"/>
          <w:szCs w:val="19"/>
        </w:rPr>
        <w:t>,确保在</w:t>
      </w:r>
      <w:r>
        <w:rPr>
          <w:rFonts w:hint="eastAsia" w:ascii="苹方 常规" w:hAnsi="苹方 常规" w:eastAsia="苹方 常规"/>
          <w:sz w:val="19"/>
          <w:szCs w:val="19"/>
        </w:rPr>
        <w:t>1</w:t>
      </w:r>
      <w:r>
        <w:rPr>
          <w:rFonts w:ascii="苹方 常规" w:hAnsi="苹方 常规" w:eastAsia="苹方 常规"/>
          <w:sz w:val="19"/>
          <w:szCs w:val="19"/>
        </w:rPr>
        <w:t>0</w:t>
      </w:r>
      <w:r>
        <w:rPr>
          <w:rFonts w:hint="eastAsia" w:ascii="苹方 常规" w:hAnsi="苹方 常规" w:eastAsia="苹方 常规"/>
          <w:sz w:val="19"/>
          <w:szCs w:val="19"/>
        </w:rPr>
        <w:t>~</w:t>
      </w:r>
      <w:r>
        <w:rPr>
          <w:rFonts w:ascii="苹方 常规" w:hAnsi="苹方 常规" w:eastAsia="苹方 常规"/>
          <w:sz w:val="19"/>
          <w:szCs w:val="19"/>
        </w:rPr>
        <w:t>35</w:t>
      </w:r>
      <w:r>
        <w:rPr>
          <w:rFonts w:hint="eastAsia" w:ascii="苹方 常规" w:hAnsi="苹方 常规" w:eastAsia="苹方 常规"/>
          <w:sz w:val="19"/>
          <w:szCs w:val="19"/>
        </w:rPr>
        <w:t>℃</w:t>
      </w:r>
      <w:r>
        <w:rPr>
          <w:rFonts w:ascii="苹方 常规" w:hAnsi="苹方 常规" w:eastAsia="苹方 常规"/>
          <w:sz w:val="19"/>
          <w:szCs w:val="19"/>
        </w:rPr>
        <w:t>之间可靠运行</w:t>
      </w:r>
      <w:r>
        <w:rPr>
          <w:rFonts w:hint="eastAsia" w:ascii="苹方 常规" w:hAnsi="苹方 常规" w:eastAsia="苹方 常规"/>
          <w:sz w:val="19"/>
          <w:szCs w:val="19"/>
        </w:rPr>
        <w:t>；</w:t>
      </w:r>
    </w:p>
    <w:p>
      <w:pPr>
        <w:pStyle w:val="20"/>
        <w:numPr>
          <w:ilvl w:val="0"/>
          <w:numId w:val="3"/>
        </w:numPr>
        <w:spacing w:afterLines="50" w:line="280" w:lineRule="exact"/>
        <w:ind w:left="420" w:leftChars="200" w:firstLineChars="0"/>
        <w:rPr>
          <w:rFonts w:ascii="苹方 常规" w:hAnsi="苹方 常规" w:eastAsia="苹方 常规"/>
          <w:sz w:val="19"/>
          <w:szCs w:val="19"/>
        </w:rPr>
      </w:pPr>
      <w:r>
        <w:rPr>
          <w:rFonts w:ascii="苹方 常规" w:hAnsi="苹方 常规" w:eastAsia="苹方 常规"/>
          <w:sz w:val="19"/>
          <w:szCs w:val="19"/>
        </w:rPr>
        <w:t>可带</w:t>
      </w:r>
      <w:r>
        <w:rPr>
          <w:rFonts w:hint="eastAsia" w:ascii="苹方 常规" w:hAnsi="苹方 常规" w:eastAsia="苹方 常规"/>
          <w:sz w:val="19"/>
          <w:szCs w:val="19"/>
        </w:rPr>
        <w:t>工业级测温黑体</w:t>
      </w:r>
      <w:r>
        <w:rPr>
          <w:rFonts w:ascii="苹方 常规" w:hAnsi="苹方 常规" w:eastAsia="苹方 常规"/>
          <w:sz w:val="19"/>
          <w:szCs w:val="19"/>
        </w:rPr>
        <w:t>校准(选配),提供精准测温参考</w:t>
      </w:r>
      <w:r>
        <w:rPr>
          <w:rFonts w:hint="eastAsia" w:ascii="苹方 常规" w:hAnsi="苹方 常规" w:eastAsia="苹方 常规"/>
          <w:sz w:val="19"/>
          <w:szCs w:val="19"/>
        </w:rPr>
        <w:t>；</w:t>
      </w:r>
    </w:p>
    <w:p>
      <w:pPr>
        <w:pStyle w:val="20"/>
        <w:numPr>
          <w:ilvl w:val="0"/>
          <w:numId w:val="3"/>
        </w:numPr>
        <w:spacing w:afterLines="50" w:line="280" w:lineRule="exact"/>
        <w:ind w:left="420" w:leftChars="200" w:firstLineChars="0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高精度视频流的宽动态人脸检测、跟踪识别算法</w:t>
      </w:r>
      <w:r>
        <w:rPr>
          <w:rFonts w:ascii="苹方 常规" w:hAnsi="苹方 常规" w:eastAsia="苹方 常规"/>
          <w:sz w:val="19"/>
          <w:szCs w:val="19"/>
        </w:rPr>
        <w:t>,确保准确率</w:t>
      </w:r>
      <w:r>
        <w:rPr>
          <w:rFonts w:hint="eastAsia" w:ascii="苹方 常规" w:hAnsi="苹方 常规" w:eastAsia="苹方 常规"/>
          <w:sz w:val="19"/>
          <w:szCs w:val="19"/>
        </w:rPr>
        <w:t>；</w:t>
      </w:r>
    </w:p>
    <w:p>
      <w:pPr>
        <w:pStyle w:val="20"/>
        <w:numPr>
          <w:ilvl w:val="0"/>
          <w:numId w:val="3"/>
        </w:numPr>
        <w:spacing w:afterLines="50" w:line="280" w:lineRule="exact"/>
        <w:ind w:left="420" w:leftChars="200" w:firstLineChars="0"/>
        <w:rPr>
          <w:rFonts w:ascii="苹方 常规" w:hAnsi="苹方 常规" w:eastAsia="苹方 常规"/>
          <w:sz w:val="19"/>
          <w:szCs w:val="19"/>
        </w:rPr>
      </w:pPr>
      <w:r>
        <w:rPr>
          <w:rFonts w:ascii="苹方 常规" w:hAnsi="苹方 常规" w:eastAsia="苹方 常规"/>
          <w:sz w:val="19"/>
          <w:szCs w:val="19"/>
        </w:rPr>
        <w:t>采用500万宽动态强光抑制摄像头,图像清晰可辨</w:t>
      </w:r>
      <w:r>
        <w:rPr>
          <w:rFonts w:hint="eastAsia" w:ascii="苹方 常规" w:hAnsi="苹方 常规" w:eastAsia="苹方 常规"/>
          <w:sz w:val="19"/>
          <w:szCs w:val="19"/>
        </w:rPr>
        <w:t>；</w:t>
      </w:r>
    </w:p>
    <w:p>
      <w:pPr>
        <w:pStyle w:val="20"/>
        <w:numPr>
          <w:ilvl w:val="0"/>
          <w:numId w:val="3"/>
        </w:numPr>
        <w:spacing w:afterLines="50" w:line="280" w:lineRule="exact"/>
        <w:ind w:left="420" w:leftChars="200" w:firstLineChars="0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核心嵌入式控制板</w:t>
      </w:r>
      <w:r>
        <w:rPr>
          <w:rFonts w:ascii="苹方 常规" w:hAnsi="苹方 常规" w:eastAsia="苹方 常规"/>
          <w:sz w:val="19"/>
          <w:szCs w:val="19"/>
        </w:rPr>
        <w:t>,linux 7.1操作系统，确保系统稳定运行</w:t>
      </w:r>
      <w:r>
        <w:rPr>
          <w:rFonts w:hint="eastAsia" w:ascii="苹方 常规" w:hAnsi="苹方 常规" w:eastAsia="苹方 常规"/>
          <w:sz w:val="19"/>
          <w:szCs w:val="19"/>
        </w:rPr>
        <w:t>；</w:t>
      </w:r>
    </w:p>
    <w:p>
      <w:pPr>
        <w:pStyle w:val="20"/>
        <w:numPr>
          <w:ilvl w:val="0"/>
          <w:numId w:val="3"/>
        </w:numPr>
        <w:spacing w:afterLines="50" w:line="280" w:lineRule="exact"/>
        <w:ind w:left="420" w:leftChars="200" w:firstLineChars="0"/>
        <w:rPr>
          <w:rFonts w:ascii="苹方 常规" w:hAnsi="苹方 常规" w:eastAsia="苹方 常规"/>
          <w:sz w:val="19"/>
          <w:szCs w:val="19"/>
        </w:rPr>
      </w:pPr>
      <w:r>
        <w:rPr>
          <w:rFonts w:ascii="苹方 常规" w:hAnsi="苹方 常规" w:eastAsia="苹方 常规"/>
          <w:sz w:val="19"/>
          <w:szCs w:val="19"/>
        </w:rPr>
        <w:t>多人险跟踪测温,随时进入随时测量,不用等待测量</w:t>
      </w:r>
      <w:r>
        <w:rPr>
          <w:rFonts w:hint="eastAsia" w:ascii="苹方 常规" w:hAnsi="苹方 常规" w:eastAsia="苹方 常规"/>
          <w:sz w:val="19"/>
          <w:szCs w:val="19"/>
        </w:rPr>
        <w:t>；</w:t>
      </w:r>
    </w:p>
    <w:p>
      <w:pPr>
        <w:pStyle w:val="20"/>
        <w:numPr>
          <w:ilvl w:val="0"/>
          <w:numId w:val="3"/>
        </w:numPr>
        <w:spacing w:afterLines="50" w:line="280" w:lineRule="exact"/>
        <w:ind w:left="420" w:leftChars="200" w:firstLineChars="0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自动高温报警</w:t>
      </w:r>
      <w:r>
        <w:rPr>
          <w:rFonts w:ascii="苹方 常规" w:hAnsi="苹方 常规" w:eastAsia="苹方 常规"/>
          <w:sz w:val="19"/>
          <w:szCs w:val="19"/>
        </w:rPr>
        <w:t>,锁定发热人员,不用人工筛选</w:t>
      </w:r>
      <w:r>
        <w:rPr>
          <w:rFonts w:hint="eastAsia" w:ascii="苹方 常规" w:hAnsi="苹方 常规" w:eastAsia="苹方 常规"/>
          <w:sz w:val="19"/>
          <w:szCs w:val="19"/>
        </w:rPr>
        <w:t>；</w:t>
      </w:r>
    </w:p>
    <w:p>
      <w:pPr>
        <w:pStyle w:val="20"/>
        <w:numPr>
          <w:ilvl w:val="0"/>
          <w:numId w:val="3"/>
        </w:numPr>
        <w:spacing w:afterLines="50" w:line="280" w:lineRule="exact"/>
        <w:ind w:left="420" w:leftChars="200" w:firstLineChars="0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支持记录导出</w:t>
      </w:r>
      <w:r>
        <w:rPr>
          <w:rFonts w:ascii="苹方 常规" w:hAnsi="苹方 常规" w:eastAsia="苹方 常规"/>
          <w:sz w:val="19"/>
          <w:szCs w:val="19"/>
        </w:rPr>
        <w:t>,数据查询跟踪,正常记录、发热记录分别显示</w:t>
      </w:r>
      <w:r>
        <w:rPr>
          <w:rFonts w:hint="eastAsia" w:ascii="苹方 常规" w:hAnsi="苹方 常规" w:eastAsia="苹方 常规"/>
          <w:sz w:val="19"/>
          <w:szCs w:val="19"/>
        </w:rPr>
        <w:t>；</w:t>
      </w:r>
    </w:p>
    <w:p>
      <w:pPr>
        <w:pStyle w:val="20"/>
        <w:numPr>
          <w:ilvl w:val="0"/>
          <w:numId w:val="3"/>
        </w:numPr>
        <w:spacing w:afterLines="50" w:line="280" w:lineRule="exact"/>
        <w:ind w:left="420" w:leftChars="200" w:firstLineChars="0"/>
        <w:rPr>
          <w:rFonts w:ascii="苹方 常规" w:hAnsi="苹方 常规" w:eastAsia="苹方 常规"/>
          <w:sz w:val="19"/>
          <w:szCs w:val="19"/>
        </w:rPr>
      </w:pPr>
      <w:r>
        <w:rPr>
          <w:rFonts w:ascii="苹方 常规" w:hAnsi="苹方 常规" w:eastAsia="苹方 常规"/>
          <w:sz w:val="19"/>
          <w:szCs w:val="19"/>
        </w:rPr>
        <w:t>支持云端大数据提取,统计分析</w:t>
      </w:r>
      <w:r>
        <w:rPr>
          <w:rFonts w:hint="eastAsia" w:ascii="苹方 常规" w:hAnsi="苹方 常规" w:eastAsia="苹方 常规"/>
          <w:sz w:val="19"/>
          <w:szCs w:val="19"/>
        </w:rPr>
        <w:t>；</w:t>
      </w:r>
    </w:p>
    <w:p>
      <w:pPr>
        <w:pStyle w:val="20"/>
        <w:numPr>
          <w:ilvl w:val="0"/>
          <w:numId w:val="3"/>
        </w:numPr>
        <w:spacing w:afterLines="50" w:line="280" w:lineRule="exact"/>
        <w:ind w:left="420" w:leftChars="200" w:firstLineChars="0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设计专业，</w:t>
      </w:r>
      <w:r>
        <w:rPr>
          <w:rFonts w:ascii="苹方 常规" w:hAnsi="苹方 常规" w:eastAsia="苹方 常规"/>
          <w:sz w:val="19"/>
          <w:szCs w:val="19"/>
        </w:rPr>
        <w:t>美观</w:t>
      </w:r>
      <w:r>
        <w:rPr>
          <w:rFonts w:hint="eastAsia" w:ascii="苹方 常规" w:hAnsi="苹方 常规" w:eastAsia="苹方 常规"/>
          <w:sz w:val="19"/>
          <w:szCs w:val="19"/>
        </w:rPr>
        <w:t>，</w:t>
      </w:r>
      <w:r>
        <w:rPr>
          <w:rFonts w:ascii="苹方 常规" w:hAnsi="苹方 常规" w:eastAsia="苹方 常规"/>
          <w:sz w:val="19"/>
          <w:szCs w:val="19"/>
        </w:rPr>
        <w:t>时尚</w:t>
      </w:r>
      <w:r>
        <w:rPr>
          <w:rFonts w:hint="eastAsia" w:ascii="苹方 常规" w:hAnsi="苹方 常规" w:eastAsia="苹方 常规"/>
          <w:sz w:val="19"/>
          <w:szCs w:val="19"/>
        </w:rPr>
        <w:t>，</w:t>
      </w:r>
      <w:r>
        <w:rPr>
          <w:rFonts w:ascii="苹方 常规" w:hAnsi="苹方 常规" w:eastAsia="苹方 常规"/>
          <w:sz w:val="19"/>
          <w:szCs w:val="19"/>
        </w:rPr>
        <w:t>适用各种测温场景。</w:t>
      </w:r>
    </w:p>
    <w:p>
      <w:pPr>
        <w:pStyle w:val="3"/>
        <w:spacing w:before="240" w:afterLines="50"/>
        <w:ind w:left="420"/>
        <w:rPr>
          <w:rFonts w:ascii="苹方 常规" w:hAnsi="苹方 常规" w:eastAsia="苹方 常规"/>
        </w:rPr>
      </w:pPr>
      <w:bookmarkStart w:id="3" w:name="_Toc7284"/>
      <w:r>
        <w:rPr>
          <w:rFonts w:hint="eastAsia" w:ascii="苹方 常规" w:hAnsi="苹方 常规" w:eastAsia="苹方 常规"/>
        </w:rPr>
        <w:t>系统硬件技术参数</w:t>
      </w:r>
      <w:bookmarkEnd w:id="3"/>
    </w:p>
    <w:tbl>
      <w:tblPr>
        <w:tblStyle w:val="14"/>
        <w:tblW w:w="6658" w:type="dxa"/>
        <w:jc w:val="center"/>
        <w:tblBorders>
          <w:top w:val="single" w:color="7F7F7F" w:themeColor="background1" w:themeShade="80" w:sz="4" w:space="0"/>
          <w:left w:val="single" w:color="7F7F7F" w:themeColor="background1" w:themeShade="80" w:sz="4" w:space="0"/>
          <w:bottom w:val="single" w:color="7F7F7F" w:themeColor="background1" w:themeShade="80" w:sz="4" w:space="0"/>
          <w:right w:val="single" w:color="7F7F7F" w:themeColor="background1" w:themeShade="80" w:sz="4" w:space="0"/>
          <w:insideH w:val="single" w:color="7F7F7F" w:themeColor="background1" w:themeShade="80" w:sz="4" w:space="0"/>
          <w:insideV w:val="single" w:color="7F7F7F" w:themeColor="background1" w:themeShade="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5387"/>
      </w:tblGrid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58" w:type="dxa"/>
            <w:gridSpan w:val="2"/>
            <w:shd w:val="clear" w:color="auto" w:fill="auto"/>
            <w:vAlign w:val="center"/>
          </w:tcPr>
          <w:p>
            <w:pPr>
              <w:rPr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主要硬件指标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Align w:val="center"/>
          </w:tcPr>
          <w:p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CPU</w:t>
            </w:r>
          </w:p>
        </w:tc>
        <w:tc>
          <w:tcPr>
            <w:tcW w:w="5387" w:type="dxa"/>
            <w:vAlign w:val="center"/>
          </w:tcPr>
          <w:p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RK3288, </w:t>
            </w:r>
            <w:r>
              <w:rPr>
                <w:rFonts w:hint="eastAsia" w:cs="Arial"/>
                <w:sz w:val="19"/>
                <w:szCs w:val="19"/>
              </w:rPr>
              <w:t>四核ARM Cortex A17，主频</w:t>
            </w:r>
            <w:r>
              <w:rPr>
                <w:rFonts w:cs="Arial"/>
                <w:sz w:val="19"/>
                <w:szCs w:val="19"/>
              </w:rPr>
              <w:t xml:space="preserve"> 1.8GHz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Align w:val="center"/>
          </w:tcPr>
          <w:p>
            <w:pPr>
              <w:rPr>
                <w:rFonts w:cs="Arial"/>
                <w:sz w:val="19"/>
                <w:szCs w:val="19"/>
              </w:rPr>
            </w:pPr>
            <w:r>
              <w:rPr>
                <w:rFonts w:hint="eastAsia" w:cs="Arial"/>
                <w:sz w:val="19"/>
                <w:szCs w:val="19"/>
              </w:rPr>
              <w:t>内存</w:t>
            </w:r>
          </w:p>
        </w:tc>
        <w:tc>
          <w:tcPr>
            <w:tcW w:w="5387" w:type="dxa"/>
            <w:vAlign w:val="center"/>
          </w:tcPr>
          <w:p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2/4G(</w:t>
            </w:r>
            <w:r>
              <w:rPr>
                <w:rFonts w:hint="eastAsia" w:cs="Arial"/>
                <w:sz w:val="19"/>
                <w:szCs w:val="19"/>
              </w:rPr>
              <w:t>可选</w:t>
            </w:r>
            <w:r>
              <w:rPr>
                <w:rFonts w:cs="Arial"/>
                <w:sz w:val="19"/>
                <w:szCs w:val="19"/>
              </w:rPr>
              <w:t>)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Align w:val="center"/>
          </w:tcPr>
          <w:p>
            <w:pPr>
              <w:rPr>
                <w:rFonts w:cs="Arial"/>
                <w:sz w:val="19"/>
                <w:szCs w:val="19"/>
              </w:rPr>
            </w:pPr>
            <w:r>
              <w:rPr>
                <w:rFonts w:hint="eastAsia" w:cs="Arial"/>
                <w:sz w:val="19"/>
                <w:szCs w:val="19"/>
              </w:rPr>
              <w:t>内置存储器</w:t>
            </w:r>
          </w:p>
        </w:tc>
        <w:tc>
          <w:tcPr>
            <w:tcW w:w="5387" w:type="dxa"/>
            <w:vAlign w:val="center"/>
          </w:tcPr>
          <w:p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EMMC 8/16/32G</w:t>
            </w:r>
            <w:r>
              <w:rPr>
                <w:rFonts w:hint="eastAsia" w:cs="Arial"/>
                <w:sz w:val="19"/>
                <w:szCs w:val="19"/>
              </w:rPr>
              <w:t>/64G/</w:t>
            </w:r>
            <w:r>
              <w:rPr>
                <w:rFonts w:cs="Arial"/>
                <w:sz w:val="19"/>
                <w:szCs w:val="19"/>
              </w:rPr>
              <w:t>(</w:t>
            </w:r>
            <w:r>
              <w:rPr>
                <w:rFonts w:hint="eastAsia" w:cs="Arial"/>
                <w:sz w:val="19"/>
                <w:szCs w:val="19"/>
              </w:rPr>
              <w:t>可选</w:t>
            </w:r>
            <w:r>
              <w:rPr>
                <w:rFonts w:cs="Arial"/>
                <w:sz w:val="19"/>
                <w:szCs w:val="19"/>
              </w:rPr>
              <w:t>)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Align w:val="center"/>
          </w:tcPr>
          <w:p>
            <w:pPr>
              <w:rPr>
                <w:rFonts w:cs="Arial"/>
                <w:sz w:val="19"/>
                <w:szCs w:val="19"/>
              </w:rPr>
            </w:pPr>
            <w:r>
              <w:rPr>
                <w:rFonts w:hint="eastAsia" w:cs="Arial"/>
                <w:sz w:val="19"/>
                <w:szCs w:val="19"/>
              </w:rPr>
              <w:t>内置</w:t>
            </w:r>
            <w:r>
              <w:rPr>
                <w:rFonts w:cs="Arial"/>
                <w:sz w:val="19"/>
                <w:szCs w:val="19"/>
              </w:rPr>
              <w:t>ROM</w:t>
            </w:r>
          </w:p>
        </w:tc>
        <w:tc>
          <w:tcPr>
            <w:tcW w:w="5387" w:type="dxa"/>
            <w:vAlign w:val="center"/>
          </w:tcPr>
          <w:p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2KB EEPROM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Align w:val="center"/>
          </w:tcPr>
          <w:p>
            <w:pPr>
              <w:rPr>
                <w:rFonts w:cs="Arial"/>
                <w:sz w:val="19"/>
                <w:szCs w:val="19"/>
              </w:rPr>
            </w:pPr>
            <w:r>
              <w:rPr>
                <w:rFonts w:hint="eastAsia" w:cs="Arial"/>
                <w:sz w:val="19"/>
                <w:szCs w:val="19"/>
              </w:rPr>
              <w:t>网络支持</w:t>
            </w:r>
          </w:p>
        </w:tc>
        <w:tc>
          <w:tcPr>
            <w:tcW w:w="5387" w:type="dxa"/>
            <w:vAlign w:val="center"/>
          </w:tcPr>
          <w:p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3G</w:t>
            </w:r>
            <w:r>
              <w:rPr>
                <w:rFonts w:hint="eastAsia" w:cs="Arial"/>
                <w:sz w:val="19"/>
                <w:szCs w:val="19"/>
              </w:rPr>
              <w:t>/4G、以太网、支持</w:t>
            </w:r>
            <w:r>
              <w:rPr>
                <w:rFonts w:cs="Arial"/>
                <w:sz w:val="19"/>
                <w:szCs w:val="19"/>
              </w:rPr>
              <w:t>WiFi/</w:t>
            </w:r>
            <w:r>
              <w:rPr>
                <w:rFonts w:hint="eastAsia" w:cs="Arial"/>
                <w:sz w:val="19"/>
                <w:szCs w:val="19"/>
              </w:rPr>
              <w:t>蓝牙</w:t>
            </w:r>
            <w:r>
              <w:rPr>
                <w:rFonts w:cs="Arial"/>
                <w:sz w:val="19"/>
                <w:szCs w:val="19"/>
              </w:rPr>
              <w:t>4.0</w:t>
            </w:r>
            <w:r>
              <w:rPr>
                <w:rFonts w:hint="eastAsia" w:cs="Arial"/>
                <w:sz w:val="19"/>
                <w:szCs w:val="19"/>
              </w:rPr>
              <w:t>、无线外设扩展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Align w:val="center"/>
          </w:tcPr>
          <w:p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USB2.0</w:t>
            </w:r>
            <w:r>
              <w:rPr>
                <w:rFonts w:hint="eastAsia" w:cs="Arial"/>
                <w:sz w:val="19"/>
                <w:szCs w:val="19"/>
              </w:rPr>
              <w:t>接口</w:t>
            </w:r>
          </w:p>
        </w:tc>
        <w:tc>
          <w:tcPr>
            <w:tcW w:w="5387" w:type="dxa"/>
            <w:vAlign w:val="center"/>
          </w:tcPr>
          <w:p>
            <w:pPr>
              <w:rPr>
                <w:rFonts w:cs="Arial"/>
                <w:sz w:val="19"/>
                <w:szCs w:val="19"/>
              </w:rPr>
            </w:pPr>
            <w:r>
              <w:rPr>
                <w:rFonts w:hint="eastAsia" w:cs="Arial"/>
                <w:sz w:val="19"/>
                <w:szCs w:val="19"/>
              </w:rPr>
              <w:t>3个</w:t>
            </w:r>
            <w:r>
              <w:rPr>
                <w:rFonts w:cs="Arial"/>
                <w:sz w:val="19"/>
                <w:szCs w:val="19"/>
              </w:rPr>
              <w:t>USB</w:t>
            </w:r>
            <w:r>
              <w:rPr>
                <w:rFonts w:hint="eastAsia" w:cs="Arial"/>
                <w:sz w:val="19"/>
                <w:szCs w:val="19"/>
              </w:rPr>
              <w:t>插座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Align w:val="center"/>
          </w:tcPr>
          <w:p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摄像头</w:t>
            </w:r>
          </w:p>
        </w:tc>
        <w:tc>
          <w:tcPr>
            <w:tcW w:w="5387" w:type="dxa"/>
            <w:vAlign w:val="center"/>
          </w:tcPr>
          <w:p>
            <w:pPr>
              <w:rPr>
                <w:sz w:val="19"/>
                <w:szCs w:val="19"/>
              </w:rPr>
            </w:pPr>
            <w:r>
              <w:rPr>
                <w:rFonts w:ascii="苹方 常规" w:hAnsi="苹方 常规" w:eastAsia="苹方 常规"/>
                <w:sz w:val="19"/>
                <w:szCs w:val="19"/>
              </w:rPr>
              <w:t>500万宽动态强光抑制摄像头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Align w:val="center"/>
          </w:tcPr>
          <w:p>
            <w:pPr>
              <w:rPr>
                <w:rFonts w:cs="Arial"/>
                <w:sz w:val="19"/>
                <w:szCs w:val="19"/>
              </w:rPr>
            </w:pPr>
            <w:r>
              <w:rPr>
                <w:rFonts w:hint="eastAsia" w:cs="Arial"/>
                <w:sz w:val="19"/>
                <w:szCs w:val="19"/>
              </w:rPr>
              <w:t>串口</w:t>
            </w:r>
          </w:p>
        </w:tc>
        <w:tc>
          <w:tcPr>
            <w:tcW w:w="5387" w:type="dxa"/>
            <w:vAlign w:val="center"/>
          </w:tcPr>
          <w:p>
            <w:pPr>
              <w:rPr>
                <w:rFonts w:cs="Arial"/>
                <w:sz w:val="19"/>
                <w:szCs w:val="19"/>
              </w:rPr>
            </w:pPr>
            <w:r>
              <w:rPr>
                <w:rFonts w:hint="eastAsia" w:cs="Arial"/>
                <w:sz w:val="19"/>
                <w:szCs w:val="19"/>
              </w:rPr>
              <w:t>2个串口插座，SPI可外接4个串口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Align w:val="center"/>
          </w:tcPr>
          <w:p>
            <w:pPr>
              <w:rPr>
                <w:rFonts w:cs="Arial"/>
                <w:sz w:val="19"/>
                <w:szCs w:val="19"/>
              </w:rPr>
            </w:pPr>
            <w:r>
              <w:rPr>
                <w:rFonts w:hint="eastAsia" w:cs="Arial"/>
                <w:sz w:val="19"/>
                <w:szCs w:val="19"/>
              </w:rPr>
              <w:t>LCD屏</w:t>
            </w:r>
          </w:p>
        </w:tc>
        <w:tc>
          <w:tcPr>
            <w:tcW w:w="5387" w:type="dxa"/>
            <w:vAlign w:val="center"/>
          </w:tcPr>
          <w:p>
            <w:pPr>
              <w:rPr>
                <w:rFonts w:cs="Arial"/>
                <w:sz w:val="19"/>
                <w:szCs w:val="19"/>
              </w:rPr>
            </w:pPr>
            <w:r>
              <w:rPr>
                <w:rFonts w:hint="eastAsia" w:cs="Arial"/>
                <w:sz w:val="19"/>
                <w:szCs w:val="19"/>
              </w:rPr>
              <w:t>15吋，分辨率1024</w:t>
            </w:r>
            <w:r>
              <w:rPr>
                <w:rFonts w:hint="eastAsia" w:ascii="微软雅黑" w:hAnsi="微软雅黑" w:eastAsia="微软雅黑" w:cs="Arial"/>
                <w:sz w:val="19"/>
                <w:szCs w:val="19"/>
              </w:rPr>
              <w:t>╳</w:t>
            </w:r>
            <w:r>
              <w:rPr>
                <w:rFonts w:hint="eastAsia" w:cs="Arial"/>
                <w:sz w:val="19"/>
                <w:szCs w:val="19"/>
              </w:rPr>
              <w:t>768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Align w:val="center"/>
          </w:tcPr>
          <w:p>
            <w:pPr>
              <w:rPr>
                <w:rFonts w:cs="Arial"/>
                <w:sz w:val="19"/>
                <w:szCs w:val="19"/>
              </w:rPr>
            </w:pPr>
            <w:r>
              <w:rPr>
                <w:rFonts w:hint="eastAsia" w:cs="Arial"/>
                <w:sz w:val="19"/>
                <w:szCs w:val="19"/>
              </w:rPr>
              <w:t>测温部件</w:t>
            </w:r>
          </w:p>
        </w:tc>
        <w:tc>
          <w:tcPr>
            <w:tcW w:w="5387" w:type="dxa"/>
            <w:vAlign w:val="center"/>
          </w:tcPr>
          <w:p>
            <w:pPr>
              <w:rPr>
                <w:rFonts w:cs="Arial"/>
                <w:sz w:val="19"/>
                <w:szCs w:val="19"/>
              </w:rPr>
            </w:pPr>
            <w:r>
              <w:rPr>
                <w:rFonts w:hint="eastAsia" w:cs="Arial"/>
                <w:sz w:val="19"/>
                <w:szCs w:val="19"/>
              </w:rPr>
              <w:t>红外温度成像仪，</w:t>
            </w:r>
            <w:r>
              <w:rPr>
                <w:rFonts w:ascii="苹方 常规" w:hAnsi="苹方 常规" w:eastAsia="苹方 常规" w:cs="微软雅黑"/>
                <w:sz w:val="19"/>
                <w:szCs w:val="19"/>
              </w:rPr>
              <w:t>256 × 192</w:t>
            </w:r>
            <w:r>
              <w:rPr>
                <w:rFonts w:hint="eastAsia" w:ascii="苹方 常规" w:hAnsi="苹方 常规" w:eastAsia="苹方 常规" w:cs="微软雅黑"/>
                <w:sz w:val="19"/>
                <w:szCs w:val="19"/>
              </w:rPr>
              <w:t>阵列</w:t>
            </w:r>
          </w:p>
        </w:tc>
      </w:tr>
    </w:tbl>
    <w:p/>
    <w:p>
      <w:pPr>
        <w:pStyle w:val="3"/>
        <w:spacing w:afterLines="50"/>
        <w:ind w:left="420"/>
        <w:rPr>
          <w:rFonts w:ascii="苹方 常规" w:hAnsi="苹方 常规" w:eastAsia="苹方 常规"/>
        </w:rPr>
      </w:pPr>
      <w:bookmarkStart w:id="4" w:name="_Toc11273"/>
      <w:r>
        <w:rPr>
          <w:rFonts w:hint="eastAsia" w:ascii="苹方 常规" w:hAnsi="苹方 常规" w:eastAsia="苹方 常规"/>
        </w:rPr>
        <w:t>热成像测温模组技术参数</w:t>
      </w:r>
      <w:bookmarkEnd w:id="4"/>
    </w:p>
    <w:tbl>
      <w:tblPr>
        <w:tblStyle w:val="15"/>
        <w:tblW w:w="6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75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Merge w:val="restart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探测器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ascii="苹方 常规" w:hAnsi="苹方 常规" w:eastAsia="苹方 常规" w:cs="微软雅黑"/>
                <w:sz w:val="19"/>
                <w:szCs w:val="19"/>
              </w:rPr>
              <w:t>红外分辨率</w:t>
            </w:r>
          </w:p>
        </w:tc>
        <w:tc>
          <w:tcPr>
            <w:tcW w:w="4395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ascii="苹方 常规" w:hAnsi="苹方 常规" w:eastAsia="苹方 常规" w:cs="微软雅黑"/>
                <w:sz w:val="19"/>
                <w:szCs w:val="19"/>
              </w:rPr>
              <w:t>256 × 192 @12</w:t>
            </w:r>
            <w:r>
              <w:rPr>
                <w:rFonts w:hint="eastAsia" w:ascii="苹方 常规" w:hAnsi="苹方 常规" w:eastAsia="苹方 常规" w:cs="微软雅黑"/>
                <w:sz w:val="19"/>
                <w:szCs w:val="19"/>
              </w:rPr>
              <w:t>μm</w:t>
            </w:r>
            <w:r>
              <w:rPr>
                <w:rFonts w:ascii="苹方 常规" w:hAnsi="苹方 常规" w:eastAsia="苹方 常规" w:cs="微软雅黑"/>
                <w:sz w:val="19"/>
                <w:szCs w:val="19"/>
              </w:rPr>
              <w:t xml:space="preserve"> WLP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Merge w:val="continue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ascii="苹方 常规" w:hAnsi="苹方 常规" w:eastAsia="苹方 常规" w:cs="微软雅黑"/>
                <w:sz w:val="19"/>
                <w:szCs w:val="19"/>
              </w:rPr>
              <w:t>工作波段</w:t>
            </w:r>
          </w:p>
        </w:tc>
        <w:tc>
          <w:tcPr>
            <w:tcW w:w="4395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ascii="苹方 常规" w:hAnsi="苹方 常规" w:eastAsia="苹方 常规"/>
                <w:sz w:val="19"/>
                <w:szCs w:val="19"/>
              </w:rPr>
              <w:t>8</w:t>
            </w:r>
            <w:r>
              <w:rPr>
                <w:rFonts w:hint="eastAsia" w:ascii="苹方 常规" w:hAnsi="苹方 常规" w:eastAsia="苹方 常规"/>
                <w:sz w:val="19"/>
                <w:szCs w:val="19"/>
              </w:rPr>
              <w:t>～1</w:t>
            </w:r>
            <w:r>
              <w:rPr>
                <w:rFonts w:ascii="苹方 常规" w:hAnsi="苹方 常规" w:eastAsia="苹方 常规"/>
                <w:sz w:val="19"/>
                <w:szCs w:val="19"/>
              </w:rPr>
              <w:t>4</w:t>
            </w:r>
            <w:r>
              <w:rPr>
                <w:rFonts w:hint="eastAsia" w:ascii="苹方 常规" w:hAnsi="苹方 常规" w:eastAsia="苹方 常规"/>
                <w:sz w:val="19"/>
                <w:szCs w:val="19"/>
              </w:rPr>
              <w:t>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Merge w:val="restart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镜头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焦距</w:t>
            </w:r>
          </w:p>
        </w:tc>
        <w:tc>
          <w:tcPr>
            <w:tcW w:w="4395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3</w:t>
            </w:r>
            <w:r>
              <w:rPr>
                <w:rFonts w:ascii="苹方 常规" w:hAnsi="苹方 常规" w:eastAsia="苹方 常规"/>
                <w:sz w:val="19"/>
                <w:szCs w:val="19"/>
              </w:rPr>
              <w:t>.2m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Merge w:val="continue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ascii="苹方 常规" w:hAnsi="苹方 常规" w:eastAsia="苹方 常规" w:cs="微软雅黑"/>
                <w:sz w:val="19"/>
                <w:szCs w:val="19"/>
              </w:rPr>
              <w:t>视场角</w:t>
            </w:r>
          </w:p>
        </w:tc>
        <w:tc>
          <w:tcPr>
            <w:tcW w:w="4395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水平4</w:t>
            </w:r>
            <w:r>
              <w:rPr>
                <w:rFonts w:ascii="苹方 常规" w:hAnsi="苹方 常规" w:eastAsia="苹方 常规"/>
                <w:sz w:val="19"/>
                <w:szCs w:val="19"/>
              </w:rPr>
              <w:t>2</w:t>
            </w:r>
            <w:r>
              <w:rPr>
                <w:rFonts w:hint="eastAsia" w:ascii="苹方 常规" w:hAnsi="苹方 常规" w:eastAsia="苹方 常规"/>
                <w:sz w:val="19"/>
                <w:szCs w:val="19"/>
              </w:rPr>
              <w:t>°±2</w:t>
            </w:r>
            <w:r>
              <w:rPr>
                <w:rFonts w:ascii="苹方 常规" w:hAnsi="苹方 常规" w:eastAsia="苹方 常规"/>
                <w:sz w:val="19"/>
                <w:szCs w:val="19"/>
              </w:rPr>
              <w:t>.1</w:t>
            </w:r>
            <w:r>
              <w:rPr>
                <w:rFonts w:hint="eastAsia" w:ascii="苹方 常规" w:hAnsi="苹方 常规" w:eastAsia="苹方 常规"/>
                <w:sz w:val="19"/>
                <w:szCs w:val="19"/>
              </w:rPr>
              <w:t>°，垂直5</w:t>
            </w:r>
            <w:r>
              <w:rPr>
                <w:rFonts w:ascii="苹方 常规" w:hAnsi="苹方 常规" w:eastAsia="苹方 常规"/>
                <w:sz w:val="19"/>
                <w:szCs w:val="19"/>
              </w:rPr>
              <w:t>5.6</w:t>
            </w:r>
            <w:r>
              <w:rPr>
                <w:rFonts w:hint="eastAsia" w:ascii="苹方 常规" w:hAnsi="苹方 常规" w:eastAsia="苹方 常规"/>
                <w:sz w:val="19"/>
                <w:szCs w:val="19"/>
              </w:rPr>
              <w:t>°±</w:t>
            </w:r>
            <w:r>
              <w:rPr>
                <w:rFonts w:ascii="苹方 常规" w:hAnsi="苹方 常规" w:eastAsia="苹方 常规"/>
                <w:sz w:val="19"/>
                <w:szCs w:val="19"/>
              </w:rPr>
              <w:t>2.8</w:t>
            </w:r>
            <w:r>
              <w:rPr>
                <w:rFonts w:hint="eastAsia" w:ascii="苹方 常规" w:hAnsi="苹方 常规" w:eastAsia="苹方 常规"/>
                <w:sz w:val="19"/>
                <w:szCs w:val="19"/>
              </w:rPr>
              <w:t>°，对角线7</w:t>
            </w:r>
            <w:r>
              <w:rPr>
                <w:rFonts w:ascii="苹方 常规" w:hAnsi="苹方 常规" w:eastAsia="苹方 常规"/>
                <w:sz w:val="19"/>
                <w:szCs w:val="19"/>
              </w:rPr>
              <w:t>1.7</w:t>
            </w:r>
            <w:r>
              <w:rPr>
                <w:rFonts w:hint="eastAsia" w:ascii="苹方 常规" w:hAnsi="苹方 常规" w:eastAsia="苹方 常规"/>
                <w:sz w:val="19"/>
                <w:szCs w:val="19"/>
              </w:rPr>
              <w:t>°±</w:t>
            </w:r>
            <w:r>
              <w:rPr>
                <w:rFonts w:ascii="苹方 常规" w:hAnsi="苹方 常规" w:eastAsia="苹方 常规"/>
                <w:sz w:val="19"/>
                <w:szCs w:val="19"/>
              </w:rPr>
              <w:t>3</w:t>
            </w:r>
            <w:r>
              <w:rPr>
                <w:rFonts w:hint="eastAsia" w:ascii="苹方 常规" w:hAnsi="苹方 常规" w:eastAsia="苹方 常规"/>
                <w:sz w:val="19"/>
                <w:szCs w:val="19"/>
              </w:rPr>
              <w:t>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接口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U</w:t>
            </w:r>
            <w:r>
              <w:rPr>
                <w:rFonts w:ascii="苹方 常规" w:hAnsi="苹方 常规" w:eastAsia="苹方 常规"/>
                <w:sz w:val="19"/>
                <w:szCs w:val="19"/>
              </w:rPr>
              <w:t>SB</w:t>
            </w:r>
          </w:p>
        </w:tc>
        <w:tc>
          <w:tcPr>
            <w:tcW w:w="4395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U</w:t>
            </w:r>
            <w:r>
              <w:rPr>
                <w:rFonts w:ascii="苹方 常规" w:hAnsi="苹方 常规" w:eastAsia="苹方 常规"/>
                <w:sz w:val="19"/>
                <w:szCs w:val="19"/>
              </w:rPr>
              <w:t>SB Type-C</w:t>
            </w:r>
            <w:r>
              <w:rPr>
                <w:rFonts w:hint="eastAsia" w:ascii="苹方 常规" w:hAnsi="苹方 常规" w:eastAsia="苹方 常规"/>
                <w:sz w:val="19"/>
                <w:szCs w:val="19"/>
              </w:rPr>
              <w:t>母头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Merge w:val="restart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测温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ascii="苹方 常规" w:hAnsi="苹方 常规" w:eastAsia="苹方 常规" w:cs="微软雅黑"/>
                <w:sz w:val="19"/>
                <w:szCs w:val="19"/>
              </w:rPr>
              <w:t>测温精度</w:t>
            </w:r>
          </w:p>
        </w:tc>
        <w:tc>
          <w:tcPr>
            <w:tcW w:w="4395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ascii="苹方 常规" w:hAnsi="苹方 常规" w:eastAsia="苹方 常规" w:cs="微软雅黑"/>
                <w:sz w:val="19"/>
                <w:szCs w:val="19"/>
              </w:rPr>
              <w:t>±0.</w:t>
            </w:r>
            <w:r>
              <w:rPr>
                <w:rFonts w:hint="eastAsia" w:ascii="苹方 常规" w:hAnsi="苹方 常规" w:eastAsia="苹方 常规" w:cs="微软雅黑"/>
                <w:sz w:val="19"/>
                <w:szCs w:val="19"/>
              </w:rPr>
              <w:t>3℃</w:t>
            </w:r>
            <w:r>
              <w:rPr>
                <w:rFonts w:ascii="苹方 常规" w:hAnsi="苹方 常规" w:eastAsia="苹方 常规" w:cs="微软雅黑"/>
                <w:sz w:val="19"/>
                <w:szCs w:val="19"/>
              </w:rPr>
              <w:t>（典型环境温度10</w:t>
            </w:r>
            <w:r>
              <w:rPr>
                <w:rFonts w:hint="eastAsia" w:ascii="苹方 常规" w:hAnsi="苹方 常规" w:eastAsia="苹方 常规" w:cs="微软雅黑"/>
                <w:sz w:val="19"/>
                <w:szCs w:val="19"/>
              </w:rPr>
              <w:t>℃</w:t>
            </w:r>
            <w:r>
              <w:rPr>
                <w:rFonts w:ascii="苹方 常规" w:hAnsi="苹方 常规" w:eastAsia="苹方 常规" w:cs="微软雅黑"/>
                <w:sz w:val="19"/>
                <w:szCs w:val="19"/>
              </w:rPr>
              <w:t>一35</w:t>
            </w:r>
            <w:r>
              <w:rPr>
                <w:rFonts w:hint="eastAsia" w:ascii="苹方 常规" w:hAnsi="苹方 常规" w:eastAsia="苹方 常规" w:cs="微软雅黑"/>
                <w:sz w:val="19"/>
                <w:szCs w:val="19"/>
              </w:rPr>
              <w:t>℃</w:t>
            </w:r>
            <w:r>
              <w:rPr>
                <w:rFonts w:ascii="苹方 常规" w:hAnsi="苹方 常规" w:eastAsia="苹方 常规" w:cs="微软雅黑"/>
                <w:sz w:val="19"/>
                <w:szCs w:val="19"/>
              </w:rPr>
              <w:t>，详见附表一）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Merge w:val="continue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ascii="苹方 常规" w:hAnsi="苹方 常规" w:eastAsia="苹方 常规" w:cs="微软雅黑"/>
                <w:sz w:val="19"/>
                <w:szCs w:val="19"/>
              </w:rPr>
              <w:t>测温距离</w:t>
            </w:r>
          </w:p>
        </w:tc>
        <w:tc>
          <w:tcPr>
            <w:tcW w:w="4395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0</w:t>
            </w:r>
            <w:r>
              <w:rPr>
                <w:rFonts w:ascii="苹方 常规" w:hAnsi="苹方 常规" w:eastAsia="苹方 常规"/>
                <w:sz w:val="19"/>
                <w:szCs w:val="19"/>
              </w:rPr>
              <w:t>.5-2.5</w:t>
            </w:r>
            <w:r>
              <w:rPr>
                <w:rFonts w:hint="eastAsia" w:ascii="苹方 常规" w:hAnsi="苹方 常规" w:eastAsia="苹方 常规"/>
                <w:sz w:val="19"/>
                <w:szCs w:val="19"/>
              </w:rPr>
              <w:t>米</w:t>
            </w:r>
          </w:p>
        </w:tc>
      </w:tr>
    </w:tbl>
    <w:p/>
    <w:p>
      <w:pPr>
        <w:spacing w:afterLines="50"/>
      </w:pPr>
      <w:r>
        <w:rPr>
          <w:rFonts w:hint="eastAsia"/>
        </w:rPr>
        <w:t>附表一：人体测温版测温精度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652"/>
        <w:gridCol w:w="1695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环温</w:t>
            </w:r>
          </w:p>
        </w:tc>
        <w:tc>
          <w:tcPr>
            <w:tcW w:w="499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测温距离（单位：m）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  <w:r>
              <w:t>.5-2.5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  <w:r>
              <w:t>-9</w:t>
            </w:r>
            <w:r>
              <w:rPr>
                <w:rFonts w:hint="eastAsia"/>
              </w:rPr>
              <w:t>℃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≥±5℃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≤±3℃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≥±5℃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0-35</w:t>
            </w:r>
            <w:r>
              <w:rPr>
                <w:rFonts w:hint="eastAsia"/>
              </w:rPr>
              <w:t>℃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≥±5℃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≤±</w:t>
            </w:r>
            <w:r>
              <w:t>0.</w:t>
            </w:r>
            <w:r>
              <w:rPr>
                <w:rFonts w:hint="eastAsia"/>
              </w:rPr>
              <w:t>3℃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≥±5℃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5-40</w:t>
            </w:r>
            <w:r>
              <w:rPr>
                <w:rFonts w:hint="eastAsia"/>
              </w:rPr>
              <w:t>℃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≥±5℃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≤±</w:t>
            </w:r>
            <w:r>
              <w:t>2</w:t>
            </w:r>
            <w:r>
              <w:rPr>
                <w:rFonts w:hint="eastAsia"/>
              </w:rPr>
              <w:t>℃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≥±5℃</w:t>
            </w:r>
          </w:p>
        </w:tc>
      </w:tr>
    </w:tbl>
    <w:p/>
    <w:p>
      <w:pPr>
        <w:pStyle w:val="3"/>
        <w:ind w:left="420"/>
      </w:pPr>
      <w:bookmarkStart w:id="5" w:name="_Toc16539"/>
      <w:r>
        <w:rPr>
          <w:rFonts w:hint="eastAsia"/>
        </w:rPr>
        <w:t>产品技术参数</w:t>
      </w:r>
      <w:bookmarkEnd w:id="5"/>
    </w:p>
    <w:tbl>
      <w:tblPr>
        <w:tblStyle w:val="43"/>
        <w:tblW w:w="6787" w:type="dxa"/>
        <w:tblInd w:w="0" w:type="dxa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  <w:gridCol w:w="4541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6" w:type="dxa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cs="Times New Roman" w:eastAsiaTheme="minorHAnsi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cs="Times New Roman" w:eastAsiaTheme="minorHAnsi"/>
                <w:b/>
                <w:bCs/>
                <w:szCs w:val="21"/>
              </w:rPr>
              <w:t>参数名</w:t>
            </w:r>
          </w:p>
        </w:tc>
        <w:tc>
          <w:tcPr>
            <w:tcW w:w="4541" w:type="dxa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cs="Times New Roman" w:eastAsiaTheme="minorHAnsi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cs="Times New Roman" w:eastAsiaTheme="minorHAnsi"/>
                <w:b/>
                <w:bCs/>
                <w:szCs w:val="21"/>
              </w:rPr>
              <w:t>详细参数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6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cs="Times New Roman" w:eastAsiaTheme="minorHAnsi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cs="等线" w:eastAsiaTheme="minorHAnsi"/>
                <w:b/>
                <w:bCs/>
                <w:szCs w:val="21"/>
              </w:rPr>
              <w:t>尺寸规格</w:t>
            </w:r>
          </w:p>
        </w:tc>
        <w:tc>
          <w:tcPr>
            <w:tcW w:w="4541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cs="Times New Roman" w:eastAsiaTheme="minorHAnsi"/>
                <w:szCs w:val="21"/>
              </w:rPr>
            </w:pPr>
            <w:r>
              <w:rPr>
                <w:rFonts w:hint="eastAsia" w:ascii="Times New Roman" w:hAnsi="Times New Roman" w:cs="等线" w:eastAsiaTheme="minorHAnsi"/>
                <w:szCs w:val="21"/>
              </w:rPr>
              <w:t>415╳355╳1500（单位：mm）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6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cs="等线" w:eastAsiaTheme="minorHAnsi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cs="等线" w:eastAsiaTheme="minorHAnsi"/>
                <w:b/>
                <w:bCs/>
                <w:szCs w:val="21"/>
              </w:rPr>
              <w:t>重量</w:t>
            </w:r>
          </w:p>
        </w:tc>
        <w:tc>
          <w:tcPr>
            <w:tcW w:w="4541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cs="等线" w:eastAsiaTheme="minorHAnsi"/>
                <w:szCs w:val="21"/>
              </w:rPr>
            </w:pPr>
            <w:r>
              <w:rPr>
                <w:rFonts w:hint="eastAsia" w:ascii="Times New Roman" w:hAnsi="Times New Roman" w:cs="等线" w:eastAsiaTheme="minorHAnsi"/>
                <w:szCs w:val="21"/>
              </w:rPr>
              <w:t>20KG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6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cs="Times New Roman" w:eastAsiaTheme="minorHAnsi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cs="等线" w:eastAsiaTheme="minorHAnsi"/>
                <w:b/>
                <w:bCs/>
                <w:szCs w:val="21"/>
              </w:rPr>
              <w:t>电    源</w:t>
            </w:r>
          </w:p>
        </w:tc>
        <w:tc>
          <w:tcPr>
            <w:tcW w:w="4541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cs="等线" w:eastAsiaTheme="minorHAnsi"/>
                <w:szCs w:val="21"/>
              </w:rPr>
            </w:pPr>
            <w:r>
              <w:rPr>
                <w:rFonts w:hint="eastAsia" w:ascii="Times New Roman" w:hAnsi="Times New Roman" w:cs="等线" w:eastAsiaTheme="minorHAnsi"/>
                <w:szCs w:val="21"/>
              </w:rPr>
              <w:t>AC220V±10%，50Hz，2A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6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cs="Times New Roman" w:eastAsiaTheme="minorHAnsi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cs="等线" w:eastAsiaTheme="minorHAnsi"/>
                <w:b/>
                <w:bCs/>
                <w:szCs w:val="21"/>
              </w:rPr>
              <w:t>通信方式</w:t>
            </w:r>
          </w:p>
        </w:tc>
        <w:tc>
          <w:tcPr>
            <w:tcW w:w="4541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cs="Times New Roman" w:eastAsiaTheme="minorHAnsi"/>
                <w:szCs w:val="21"/>
              </w:rPr>
            </w:pPr>
            <w:r>
              <w:rPr>
                <w:rFonts w:hint="eastAsia" w:ascii="Times New Roman" w:hAnsi="Times New Roman" w:cs="等线" w:eastAsiaTheme="minorHAnsi"/>
                <w:szCs w:val="21"/>
              </w:rPr>
              <w:t>局域网，互联网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6" w:type="dxa"/>
            <w:vAlign w:val="center"/>
          </w:tcPr>
          <w:p>
            <w:pPr>
              <w:adjustRightInd w:val="0"/>
              <w:snapToGrid w:val="0"/>
              <w:spacing w:line="20" w:lineRule="atLeast"/>
              <w:ind w:left="6"/>
              <w:jc w:val="center"/>
              <w:rPr>
                <w:rFonts w:ascii="Times New Roman" w:hAnsi="Times New Roman" w:cs="等线" w:eastAsiaTheme="minorHAnsi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cs="等线" w:eastAsiaTheme="minorHAnsi"/>
                <w:b/>
                <w:bCs/>
                <w:szCs w:val="21"/>
              </w:rPr>
              <w:t>防护等级</w:t>
            </w:r>
          </w:p>
        </w:tc>
        <w:tc>
          <w:tcPr>
            <w:tcW w:w="4541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cs="等线" w:eastAsiaTheme="minorHAnsi"/>
                <w:szCs w:val="21"/>
              </w:rPr>
            </w:pPr>
            <w:r>
              <w:rPr>
                <w:rFonts w:hint="eastAsia" w:ascii="Times New Roman" w:hAnsi="Times New Roman" w:cs="等线" w:eastAsiaTheme="minorHAnsi"/>
                <w:szCs w:val="21"/>
              </w:rPr>
              <w:t>IP54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6" w:type="dxa"/>
            <w:vAlign w:val="center"/>
          </w:tcPr>
          <w:p>
            <w:pPr>
              <w:adjustRightInd w:val="0"/>
              <w:snapToGrid w:val="0"/>
              <w:spacing w:line="20" w:lineRule="atLeast"/>
              <w:ind w:left="6"/>
              <w:jc w:val="center"/>
              <w:rPr>
                <w:rFonts w:ascii="Times New Roman" w:hAnsi="Times New Roman" w:cs="Times New Roman" w:eastAsiaTheme="minorHAnsi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cs="等线" w:eastAsiaTheme="minorHAnsi"/>
                <w:b/>
                <w:bCs/>
                <w:szCs w:val="21"/>
              </w:rPr>
              <w:t>工作温度</w:t>
            </w:r>
          </w:p>
        </w:tc>
        <w:tc>
          <w:tcPr>
            <w:tcW w:w="4541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cs="Times New Roman" w:eastAsiaTheme="minorHAnsi"/>
                <w:szCs w:val="21"/>
              </w:rPr>
            </w:pPr>
            <w:r>
              <w:rPr>
                <w:rFonts w:hint="eastAsia" w:ascii="Times New Roman" w:hAnsi="Times New Roman" w:cs="等线" w:eastAsiaTheme="minorHAnsi"/>
                <w:szCs w:val="21"/>
              </w:rPr>
              <w:t>10°C~+35°C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6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cs="Times New Roman" w:eastAsiaTheme="minorHAnsi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cs="等线" w:eastAsiaTheme="minorHAnsi"/>
                <w:b/>
                <w:bCs/>
                <w:szCs w:val="21"/>
              </w:rPr>
              <w:t>工作湿度</w:t>
            </w:r>
          </w:p>
        </w:tc>
        <w:tc>
          <w:tcPr>
            <w:tcW w:w="4541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cs="Times New Roman" w:eastAsiaTheme="minorHAnsi"/>
                <w:szCs w:val="21"/>
              </w:rPr>
            </w:pPr>
            <w:r>
              <w:rPr>
                <w:rFonts w:hint="eastAsia" w:ascii="Times New Roman" w:hAnsi="Times New Roman" w:cs="等线" w:eastAsiaTheme="minorHAnsi"/>
                <w:szCs w:val="21"/>
              </w:rPr>
              <w:t>≤85% 无冷凝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6" w:type="dxa"/>
            <w:vAlign w:val="center"/>
          </w:tcPr>
          <w:p>
            <w:pPr>
              <w:adjustRightInd w:val="0"/>
              <w:snapToGrid w:val="0"/>
              <w:spacing w:line="20" w:lineRule="atLeast"/>
              <w:ind w:left="6"/>
              <w:jc w:val="center"/>
              <w:rPr>
                <w:rFonts w:ascii="Times New Roman" w:hAnsi="Times New Roman" w:cs="Times New Roman" w:eastAsiaTheme="minorHAnsi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cs="等线" w:eastAsiaTheme="minorHAnsi"/>
                <w:b/>
                <w:bCs/>
                <w:szCs w:val="21"/>
              </w:rPr>
              <w:t>储存温度</w:t>
            </w:r>
          </w:p>
        </w:tc>
        <w:tc>
          <w:tcPr>
            <w:tcW w:w="4541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cs="Times New Roman" w:eastAsiaTheme="minorHAnsi"/>
                <w:szCs w:val="21"/>
              </w:rPr>
            </w:pPr>
            <w:r>
              <w:rPr>
                <w:rFonts w:hint="eastAsia" w:ascii="Times New Roman" w:hAnsi="Times New Roman" w:cs="等线" w:eastAsiaTheme="minorHAnsi"/>
                <w:szCs w:val="21"/>
              </w:rPr>
              <w:t>0°C~+40°C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6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cs="Times New Roman" w:eastAsiaTheme="minorHAnsi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cs="等线" w:eastAsiaTheme="minorHAnsi"/>
                <w:b/>
                <w:bCs/>
                <w:szCs w:val="21"/>
              </w:rPr>
              <w:t>储存湿度</w:t>
            </w:r>
          </w:p>
        </w:tc>
        <w:tc>
          <w:tcPr>
            <w:tcW w:w="4541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cs="Times New Roman" w:eastAsiaTheme="minorHAnsi"/>
                <w:szCs w:val="21"/>
              </w:rPr>
            </w:pPr>
            <w:r>
              <w:rPr>
                <w:rFonts w:hint="eastAsia" w:ascii="Times New Roman" w:hAnsi="Times New Roman" w:cs="等线" w:eastAsiaTheme="minorHAnsi"/>
                <w:szCs w:val="21"/>
              </w:rPr>
              <w:t xml:space="preserve">≤85% 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="等线" w:hAnsi="等线" w:eastAsia="等线" w:cs="等线"/>
          <w:b/>
          <w:bCs/>
          <w:szCs w:val="21"/>
        </w:rPr>
      </w:pPr>
    </w:p>
    <w:p>
      <w:pPr>
        <w:pStyle w:val="3"/>
        <w:ind w:left="420"/>
      </w:pPr>
      <w:bookmarkStart w:id="6" w:name="_Toc31650"/>
      <w:r>
        <w:rPr>
          <w:rFonts w:hint="eastAsia"/>
        </w:rPr>
        <w:t>设备接口定义</w:t>
      </w:r>
      <w:bookmarkEnd w:id="6"/>
    </w:p>
    <w:tbl>
      <w:tblPr>
        <w:tblStyle w:val="33"/>
        <w:tblW w:w="0" w:type="auto"/>
        <w:jc w:val="center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2549"/>
        <w:gridCol w:w="3310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4" w:type="dxa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苹方 常规" w:hAnsi="苹方 常规" w:eastAsia="苹方 常规"/>
                <w:b/>
                <w:bCs/>
              </w:rPr>
            </w:pPr>
          </w:p>
        </w:tc>
        <w:tc>
          <w:tcPr>
            <w:tcW w:w="2765" w:type="dxa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苹方 常规" w:hAnsi="苹方 常规" w:eastAsia="苹方 常规"/>
                <w:b/>
                <w:bCs/>
              </w:rPr>
            </w:pPr>
            <w:r>
              <w:rPr>
                <w:rFonts w:hint="eastAsia" w:ascii="苹方 常规" w:hAnsi="苹方 常规" w:eastAsia="苹方 常规"/>
                <w:b/>
                <w:bCs/>
              </w:rPr>
              <w:t>接口名称</w:t>
            </w:r>
          </w:p>
        </w:tc>
        <w:tc>
          <w:tcPr>
            <w:tcW w:w="3609" w:type="dxa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苹方 常规" w:hAnsi="苹方 常规" w:eastAsia="苹方 常规"/>
                <w:b/>
                <w:bCs/>
              </w:rPr>
            </w:pPr>
            <w:r>
              <w:rPr>
                <w:rFonts w:hint="eastAsia" w:ascii="苹方 常规" w:hAnsi="苹方 常规" w:eastAsia="苹方 常规"/>
                <w:b/>
                <w:bCs/>
              </w:rPr>
              <w:t>接口说明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苹方 常规" w:hAnsi="苹方 常规" w:eastAsia="苹方 常规"/>
                <w:b/>
                <w:bCs/>
              </w:rPr>
            </w:pPr>
            <w:r>
              <w:rPr>
                <w:rFonts w:hint="eastAsia" w:ascii="苹方 常规" w:hAnsi="苹方 常规" w:eastAsia="苹方 常规"/>
                <w:b/>
                <w:bCs/>
              </w:rPr>
              <w:t>1</w:t>
            </w:r>
          </w:p>
        </w:tc>
        <w:tc>
          <w:tcPr>
            <w:tcW w:w="2765" w:type="dxa"/>
            <w:vAlign w:val="center"/>
          </w:tcPr>
          <w:p>
            <w:pPr>
              <w:spacing w:line="320" w:lineRule="exact"/>
              <w:jc w:val="center"/>
              <w:rPr>
                <w:rFonts w:ascii="苹方 常规" w:hAnsi="苹方 常规" w:eastAsia="苹方 常规"/>
              </w:rPr>
            </w:pPr>
            <w:r>
              <w:rPr>
                <w:rFonts w:hint="eastAsia" w:ascii="苹方 常规" w:hAnsi="苹方 常规" w:eastAsia="苹方 常规"/>
              </w:rPr>
              <w:t>H</w:t>
            </w:r>
            <w:r>
              <w:rPr>
                <w:rFonts w:ascii="苹方 常规" w:hAnsi="苹方 常规" w:eastAsia="苹方 常规"/>
              </w:rPr>
              <w:t>DMI</w:t>
            </w:r>
          </w:p>
        </w:tc>
        <w:tc>
          <w:tcPr>
            <w:tcW w:w="3609" w:type="dxa"/>
            <w:vAlign w:val="center"/>
          </w:tcPr>
          <w:p>
            <w:pPr>
              <w:spacing w:line="320" w:lineRule="exact"/>
              <w:jc w:val="center"/>
              <w:rPr>
                <w:rFonts w:ascii="苹方 常规" w:hAnsi="苹方 常规" w:eastAsia="苹方 常规"/>
              </w:rPr>
            </w:pPr>
            <w:r>
              <w:rPr>
                <w:rFonts w:hint="eastAsia" w:ascii="苹方 常规" w:hAnsi="苹方 常规" w:eastAsia="苹方 常规"/>
              </w:rPr>
              <w:t>H</w:t>
            </w:r>
            <w:r>
              <w:rPr>
                <w:rFonts w:ascii="苹方 常规" w:hAnsi="苹方 常规" w:eastAsia="苹方 常规"/>
              </w:rPr>
              <w:t>DMI</w:t>
            </w:r>
            <w:r>
              <w:rPr>
                <w:rFonts w:hint="eastAsia" w:ascii="苹方 常规" w:hAnsi="苹方 常规" w:eastAsia="苹方 常规"/>
              </w:rPr>
              <w:t>连接显示屏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苹方 常规" w:hAnsi="苹方 常规" w:eastAsia="苹方 常规"/>
                <w:b/>
                <w:bCs/>
              </w:rPr>
            </w:pPr>
            <w:r>
              <w:rPr>
                <w:rFonts w:ascii="苹方 常规" w:hAnsi="苹方 常规" w:eastAsia="苹方 常规"/>
                <w:b/>
                <w:bCs/>
              </w:rPr>
              <w:t>2</w:t>
            </w:r>
          </w:p>
        </w:tc>
        <w:tc>
          <w:tcPr>
            <w:tcW w:w="2765" w:type="dxa"/>
            <w:vAlign w:val="center"/>
          </w:tcPr>
          <w:p>
            <w:pPr>
              <w:spacing w:line="320" w:lineRule="exact"/>
              <w:jc w:val="center"/>
              <w:rPr>
                <w:rFonts w:ascii="苹方 常规" w:hAnsi="苹方 常规" w:eastAsia="苹方 常规"/>
              </w:rPr>
            </w:pPr>
            <w:r>
              <w:rPr>
                <w:rFonts w:hint="eastAsia" w:ascii="苹方 常规" w:hAnsi="苹方 常规" w:eastAsia="苹方 常规"/>
              </w:rPr>
              <w:t>电源接口</w:t>
            </w:r>
          </w:p>
        </w:tc>
        <w:tc>
          <w:tcPr>
            <w:tcW w:w="3609" w:type="dxa"/>
            <w:vAlign w:val="center"/>
          </w:tcPr>
          <w:p>
            <w:pPr>
              <w:spacing w:line="320" w:lineRule="exact"/>
              <w:jc w:val="center"/>
              <w:rPr>
                <w:rFonts w:ascii="苹方 常规" w:hAnsi="苹方 常规" w:eastAsia="苹方 常规"/>
              </w:rPr>
            </w:pPr>
            <w:r>
              <w:rPr>
                <w:rFonts w:hint="eastAsia" w:ascii="苹方 常规" w:hAnsi="苹方 常规" w:eastAsia="苹方 常规"/>
              </w:rPr>
              <w:t>1</w:t>
            </w:r>
            <w:r>
              <w:rPr>
                <w:rFonts w:ascii="苹方 常规" w:hAnsi="苹方 常规" w:eastAsia="苹方 常规"/>
              </w:rPr>
              <w:t>2VDC</w:t>
            </w:r>
            <w:r>
              <w:rPr>
                <w:rFonts w:hint="eastAsia" w:ascii="苹方 常规" w:hAnsi="苹方 常规" w:eastAsia="苹方 常规"/>
              </w:rPr>
              <w:t>电源接口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苹方 常规" w:hAnsi="苹方 常规" w:eastAsia="苹方 常规"/>
                <w:b/>
                <w:bCs/>
              </w:rPr>
            </w:pPr>
            <w:r>
              <w:rPr>
                <w:rFonts w:ascii="苹方 常规" w:hAnsi="苹方 常规" w:eastAsia="苹方 常规"/>
                <w:b/>
                <w:bCs/>
              </w:rPr>
              <w:t>3</w:t>
            </w:r>
          </w:p>
        </w:tc>
        <w:tc>
          <w:tcPr>
            <w:tcW w:w="2765" w:type="dxa"/>
            <w:vAlign w:val="center"/>
          </w:tcPr>
          <w:p>
            <w:pPr>
              <w:spacing w:line="320" w:lineRule="exact"/>
              <w:jc w:val="center"/>
              <w:rPr>
                <w:rFonts w:ascii="苹方 常规" w:hAnsi="苹方 常规" w:eastAsia="苹方 常规"/>
              </w:rPr>
            </w:pPr>
            <w:r>
              <w:rPr>
                <w:rFonts w:hint="eastAsia" w:ascii="苹方 常规" w:hAnsi="苹方 常规" w:eastAsia="苹方 常规"/>
              </w:rPr>
              <w:t>网络接口</w:t>
            </w:r>
          </w:p>
        </w:tc>
        <w:tc>
          <w:tcPr>
            <w:tcW w:w="3609" w:type="dxa"/>
            <w:vAlign w:val="center"/>
          </w:tcPr>
          <w:p>
            <w:pPr>
              <w:spacing w:line="320" w:lineRule="exact"/>
              <w:jc w:val="center"/>
              <w:rPr>
                <w:rFonts w:ascii="苹方 常规" w:hAnsi="苹方 常规" w:eastAsia="苹方 常规"/>
              </w:rPr>
            </w:pPr>
            <w:r>
              <w:rPr>
                <w:rFonts w:hint="eastAsia" w:ascii="苹方 常规" w:hAnsi="苹方 常规" w:eastAsia="苹方 常规"/>
              </w:rPr>
              <w:t>R</w:t>
            </w:r>
            <w:r>
              <w:rPr>
                <w:rFonts w:ascii="苹方 常规" w:hAnsi="苹方 常规" w:eastAsia="苹方 常规"/>
              </w:rPr>
              <w:t>J45</w:t>
            </w:r>
            <w:r>
              <w:rPr>
                <w:rFonts w:hint="eastAsia" w:ascii="苹方 常规" w:hAnsi="苹方 常规" w:eastAsia="苹方 常规"/>
              </w:rPr>
              <w:t>网络接口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苹方 常规" w:hAnsi="苹方 常规" w:eastAsia="苹方 常规"/>
                <w:b/>
                <w:bCs/>
              </w:rPr>
            </w:pPr>
            <w:r>
              <w:rPr>
                <w:rFonts w:hint="eastAsia" w:ascii="苹方 常规" w:hAnsi="苹方 常规" w:eastAsia="苹方 常规"/>
                <w:b/>
                <w:bCs/>
              </w:rPr>
              <w:t>4</w:t>
            </w:r>
          </w:p>
        </w:tc>
        <w:tc>
          <w:tcPr>
            <w:tcW w:w="2765" w:type="dxa"/>
            <w:vAlign w:val="center"/>
          </w:tcPr>
          <w:p>
            <w:pPr>
              <w:spacing w:line="320" w:lineRule="exact"/>
              <w:jc w:val="center"/>
              <w:rPr>
                <w:rFonts w:ascii="苹方 常规" w:hAnsi="苹方 常规" w:eastAsia="苹方 常规"/>
              </w:rPr>
            </w:pPr>
            <w:r>
              <w:rPr>
                <w:rFonts w:hint="eastAsia" w:ascii="苹方 常规" w:hAnsi="苹方 常规" w:eastAsia="苹方 常规"/>
              </w:rPr>
              <w:t>喇叭接口</w:t>
            </w:r>
          </w:p>
        </w:tc>
        <w:tc>
          <w:tcPr>
            <w:tcW w:w="3609" w:type="dxa"/>
            <w:vAlign w:val="center"/>
          </w:tcPr>
          <w:p>
            <w:pPr>
              <w:spacing w:line="320" w:lineRule="exact"/>
              <w:jc w:val="center"/>
              <w:rPr>
                <w:rFonts w:ascii="苹方 常规" w:hAnsi="苹方 常规" w:eastAsia="苹方 常规"/>
              </w:rPr>
            </w:pPr>
            <w:r>
              <w:rPr>
                <w:rFonts w:hint="eastAsia" w:ascii="苹方 常规" w:hAnsi="苹方 常规" w:eastAsia="苹方 常规"/>
              </w:rPr>
              <w:t>S</w:t>
            </w:r>
            <w:r>
              <w:rPr>
                <w:rFonts w:ascii="苹方 常规" w:hAnsi="苹方 常规" w:eastAsia="苹方 常规"/>
              </w:rPr>
              <w:t>PK+  SPK-</w:t>
            </w:r>
            <w:r>
              <w:rPr>
                <w:rFonts w:hint="eastAsia" w:ascii="苹方 常规" w:hAnsi="苹方 常规" w:eastAsia="苹方 常规"/>
              </w:rPr>
              <w:t>接口</w:t>
            </w:r>
          </w:p>
        </w:tc>
      </w:tr>
    </w:tbl>
    <w:p>
      <w:pPr>
        <w:pStyle w:val="3"/>
        <w:spacing w:before="240"/>
        <w:ind w:left="420"/>
        <w:rPr>
          <w:rFonts w:ascii="苹方 常规" w:hAnsi="苹方 常规" w:eastAsia="苹方 常规"/>
        </w:rPr>
      </w:pPr>
      <w:bookmarkStart w:id="7" w:name="_Toc22598"/>
      <w:r>
        <w:rPr>
          <w:rFonts w:hint="eastAsia" w:ascii="苹方 常规" w:hAnsi="苹方 常规" w:eastAsia="苹方 常规"/>
        </w:rPr>
        <w:t>功能介绍</w:t>
      </w:r>
      <w:bookmarkEnd w:id="7"/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250"/>
        <w:gridCol w:w="4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1" w:type="dxa"/>
            <w:vAlign w:val="center"/>
          </w:tcPr>
          <w:p>
            <w:pPr>
              <w:spacing w:line="320" w:lineRule="exact"/>
              <w:jc w:val="center"/>
              <w:rPr>
                <w:rFonts w:ascii="苹方 常规" w:hAnsi="苹方 常规" w:eastAsia="苹方 常规"/>
                <w:sz w:val="19"/>
                <w:szCs w:val="19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功能名称</w:t>
            </w:r>
          </w:p>
        </w:tc>
        <w:tc>
          <w:tcPr>
            <w:tcW w:w="4809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功能描述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1" w:type="dxa"/>
            <w:vAlign w:val="center"/>
          </w:tcPr>
          <w:p>
            <w:pPr>
              <w:spacing w:line="320" w:lineRule="exact"/>
              <w:jc w:val="center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1</w:t>
            </w:r>
          </w:p>
        </w:tc>
        <w:tc>
          <w:tcPr>
            <w:tcW w:w="1250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体温测量</w:t>
            </w:r>
          </w:p>
        </w:tc>
        <w:tc>
          <w:tcPr>
            <w:tcW w:w="4809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支持人脸温度测量功能，可自动框选人脸框并显示温度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1" w:type="dxa"/>
            <w:vAlign w:val="center"/>
          </w:tcPr>
          <w:p>
            <w:pPr>
              <w:spacing w:line="320" w:lineRule="exact"/>
              <w:jc w:val="center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2</w:t>
            </w:r>
          </w:p>
        </w:tc>
        <w:tc>
          <w:tcPr>
            <w:tcW w:w="1250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体温报警</w:t>
            </w:r>
          </w:p>
        </w:tc>
        <w:tc>
          <w:tcPr>
            <w:tcW w:w="4809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当体温测量值高于报警阈值时，设备会有高温警报提示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621" w:type="dxa"/>
            <w:vAlign w:val="center"/>
          </w:tcPr>
          <w:p>
            <w:pPr>
              <w:spacing w:line="320" w:lineRule="exact"/>
              <w:jc w:val="center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3</w:t>
            </w:r>
          </w:p>
        </w:tc>
        <w:tc>
          <w:tcPr>
            <w:tcW w:w="1250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人数显示</w:t>
            </w:r>
          </w:p>
        </w:tc>
        <w:tc>
          <w:tcPr>
            <w:tcW w:w="4809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在显示器中可以显示累计通行人数、累计正常温度人数，累计发热人数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1" w:type="dxa"/>
            <w:vAlign w:val="center"/>
          </w:tcPr>
          <w:p>
            <w:pPr>
              <w:spacing w:line="320" w:lineRule="exact"/>
              <w:jc w:val="center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4</w:t>
            </w:r>
          </w:p>
        </w:tc>
        <w:tc>
          <w:tcPr>
            <w:tcW w:w="1250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自动抓拍</w:t>
            </w:r>
          </w:p>
        </w:tc>
        <w:tc>
          <w:tcPr>
            <w:tcW w:w="4809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在测温完成时，自动抓拍人脸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1" w:type="dxa"/>
            <w:vAlign w:val="center"/>
          </w:tcPr>
          <w:p>
            <w:pPr>
              <w:spacing w:line="320" w:lineRule="exact"/>
              <w:jc w:val="center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5</w:t>
            </w:r>
          </w:p>
        </w:tc>
        <w:tc>
          <w:tcPr>
            <w:tcW w:w="1250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识别间隔</w:t>
            </w:r>
          </w:p>
        </w:tc>
        <w:tc>
          <w:tcPr>
            <w:tcW w:w="4809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可以在web端设置同一个人连续识别时间间隔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1" w:type="dxa"/>
            <w:vAlign w:val="center"/>
          </w:tcPr>
          <w:p>
            <w:pPr>
              <w:spacing w:line="320" w:lineRule="exact"/>
              <w:jc w:val="center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6</w:t>
            </w:r>
          </w:p>
        </w:tc>
        <w:tc>
          <w:tcPr>
            <w:tcW w:w="1250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多人脸测温</w:t>
            </w:r>
          </w:p>
        </w:tc>
        <w:tc>
          <w:tcPr>
            <w:tcW w:w="4809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支持同时对1</w:t>
            </w:r>
            <w:r>
              <w:rPr>
                <w:rFonts w:ascii="苹方 常规" w:hAnsi="苹方 常规" w:eastAsia="苹方 常规"/>
                <w:sz w:val="19"/>
                <w:szCs w:val="19"/>
              </w:rPr>
              <w:t>0</w:t>
            </w:r>
            <w:r>
              <w:rPr>
                <w:rFonts w:hint="eastAsia" w:ascii="苹方 常规" w:hAnsi="苹方 常规" w:eastAsia="苹方 常规"/>
                <w:sz w:val="19"/>
                <w:szCs w:val="19"/>
              </w:rPr>
              <w:t>名人员同时测温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1" w:type="dxa"/>
            <w:vAlign w:val="center"/>
          </w:tcPr>
          <w:p>
            <w:pPr>
              <w:spacing w:line="320" w:lineRule="exact"/>
              <w:jc w:val="center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7</w:t>
            </w:r>
          </w:p>
        </w:tc>
        <w:tc>
          <w:tcPr>
            <w:tcW w:w="1250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体温补偿</w:t>
            </w:r>
          </w:p>
        </w:tc>
        <w:tc>
          <w:tcPr>
            <w:tcW w:w="4809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可以在web设置页面设置体温检测补偿参数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1" w:type="dxa"/>
            <w:vAlign w:val="center"/>
          </w:tcPr>
          <w:p>
            <w:pPr>
              <w:spacing w:line="320" w:lineRule="exact"/>
              <w:jc w:val="center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8</w:t>
            </w:r>
          </w:p>
        </w:tc>
        <w:tc>
          <w:tcPr>
            <w:tcW w:w="1250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记录查询</w:t>
            </w:r>
          </w:p>
        </w:tc>
        <w:tc>
          <w:tcPr>
            <w:tcW w:w="4809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ascii="苹方 常规" w:hAnsi="苹方 常规" w:eastAsia="苹方 常规"/>
                <w:sz w:val="19"/>
                <w:szCs w:val="19"/>
              </w:rPr>
              <w:t>W</w:t>
            </w:r>
            <w:r>
              <w:rPr>
                <w:rFonts w:hint="eastAsia" w:ascii="苹方 常规" w:hAnsi="苹方 常规" w:eastAsia="苹方 常规"/>
                <w:sz w:val="19"/>
                <w:szCs w:val="19"/>
              </w:rPr>
              <w:t>eb端支持测温记录查询，导出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1" w:type="dxa"/>
            <w:vAlign w:val="center"/>
          </w:tcPr>
          <w:p>
            <w:pPr>
              <w:spacing w:line="320" w:lineRule="exact"/>
              <w:jc w:val="center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9</w:t>
            </w:r>
          </w:p>
        </w:tc>
        <w:tc>
          <w:tcPr>
            <w:tcW w:w="1250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远程监控</w:t>
            </w:r>
          </w:p>
        </w:tc>
        <w:tc>
          <w:tcPr>
            <w:tcW w:w="4809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ascii="苹方 常规" w:hAnsi="苹方 常规" w:eastAsia="苹方 常规"/>
                <w:sz w:val="19"/>
                <w:szCs w:val="19"/>
              </w:rPr>
              <w:t>W</w:t>
            </w:r>
            <w:r>
              <w:rPr>
                <w:rFonts w:hint="eastAsia" w:ascii="苹方 常规" w:hAnsi="苹方 常规" w:eastAsia="苹方 常规"/>
                <w:sz w:val="19"/>
                <w:szCs w:val="19"/>
              </w:rPr>
              <w:t>eb端可以实时监控设备测温情况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621" w:type="dxa"/>
            <w:vAlign w:val="center"/>
          </w:tcPr>
          <w:p>
            <w:pPr>
              <w:spacing w:line="320" w:lineRule="exact"/>
              <w:jc w:val="center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1</w:t>
            </w:r>
            <w:r>
              <w:rPr>
                <w:rFonts w:ascii="苹方 常规" w:hAnsi="苹方 常规" w:eastAsia="苹方 常规"/>
                <w:sz w:val="19"/>
                <w:szCs w:val="19"/>
              </w:rPr>
              <w:t>0</w:t>
            </w:r>
          </w:p>
        </w:tc>
        <w:tc>
          <w:tcPr>
            <w:tcW w:w="1250" w:type="dxa"/>
            <w:vAlign w:val="center"/>
          </w:tcPr>
          <w:p>
            <w:pPr>
              <w:spacing w:line="320" w:lineRule="exact"/>
              <w:jc w:val="lef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人脸识别</w:t>
            </w:r>
          </w:p>
          <w:p>
            <w:pPr>
              <w:spacing w:line="320" w:lineRule="exact"/>
              <w:jc w:val="lef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大数据</w:t>
            </w:r>
          </w:p>
        </w:tc>
        <w:tc>
          <w:tcPr>
            <w:tcW w:w="4809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ascii="苹方 常规" w:hAnsi="苹方 常规" w:eastAsia="苹方 常规"/>
                <w:sz w:val="19"/>
                <w:szCs w:val="19"/>
              </w:rPr>
              <w:t>W</w:t>
            </w:r>
            <w:r>
              <w:rPr>
                <w:rFonts w:hint="eastAsia" w:ascii="苹方 常规" w:hAnsi="苹方 常规" w:eastAsia="苹方 常规"/>
                <w:sz w:val="19"/>
                <w:szCs w:val="19"/>
              </w:rPr>
              <w:t>eb端可对所有人脸识别数据进行统计分析</w:t>
            </w:r>
          </w:p>
        </w:tc>
      </w:tr>
    </w:tbl>
    <w:p/>
    <w:p>
      <w:pPr>
        <w:pStyle w:val="3"/>
        <w:ind w:left="420"/>
        <w:rPr>
          <w:rFonts w:ascii="苹方 常规" w:hAnsi="苹方 常规" w:eastAsia="苹方 常规"/>
        </w:rPr>
      </w:pPr>
      <w:bookmarkStart w:id="8" w:name="_Toc29024"/>
      <w:r>
        <w:rPr>
          <w:rFonts w:hint="eastAsia" w:ascii="苹方 常规" w:hAnsi="苹方 常规" w:eastAsia="苹方 常规"/>
        </w:rPr>
        <w:t>设备安装</w:t>
      </w:r>
      <w:bookmarkEnd w:id="8"/>
    </w:p>
    <w:p>
      <w:pPr>
        <w:pStyle w:val="4"/>
        <w:spacing w:before="120" w:after="0" w:line="360" w:lineRule="exact"/>
        <w:ind w:left="210" w:leftChars="100"/>
        <w:rPr>
          <w:rFonts w:ascii="苹方 常规" w:hAnsi="苹方 常规" w:eastAsia="苹方 常规"/>
          <w:sz w:val="24"/>
          <w:szCs w:val="24"/>
        </w:rPr>
      </w:pPr>
      <w:r>
        <w:rPr>
          <w:rFonts w:ascii="苹方 常规" w:hAnsi="苹方 常规" w:eastAsia="苹方 常规"/>
          <w:sz w:val="24"/>
          <w:szCs w:val="24"/>
        </w:rPr>
        <w:t>(</w:t>
      </w:r>
      <w:r>
        <w:rPr>
          <w:rFonts w:hint="eastAsia" w:ascii="苹方 常规" w:hAnsi="苹方 常规" w:eastAsia="苹方 常规"/>
          <w:sz w:val="24"/>
          <w:szCs w:val="24"/>
        </w:rPr>
        <w:t>1</w:t>
      </w:r>
      <w:r>
        <w:rPr>
          <w:rFonts w:ascii="苹方 常规" w:hAnsi="苹方 常规" w:eastAsia="苹方 常规"/>
          <w:sz w:val="24"/>
          <w:szCs w:val="24"/>
        </w:rPr>
        <w:t xml:space="preserve">). </w:t>
      </w:r>
      <w:r>
        <w:rPr>
          <w:rFonts w:hint="eastAsia" w:ascii="苹方 常规" w:hAnsi="苹方 常规" w:eastAsia="苹方 常规"/>
          <w:sz w:val="24"/>
          <w:szCs w:val="24"/>
        </w:rPr>
        <w:t>安装位置选择</w:t>
      </w:r>
    </w:p>
    <w:p>
      <w:pPr>
        <w:spacing w:line="400" w:lineRule="exact"/>
        <w:ind w:left="493" w:leftChars="235"/>
        <w:rPr>
          <w:rFonts w:ascii="苹方 常规" w:hAnsi="苹方 常规" w:eastAsia="苹方 常规"/>
          <w:sz w:val="19"/>
          <w:szCs w:val="19"/>
        </w:rPr>
      </w:pPr>
      <w:r>
        <w:rPr>
          <w:rFonts w:ascii="苹方 常规" w:hAnsi="苹方 常规" w:eastAsia="苹方 常规"/>
          <w:sz w:val="19"/>
          <w:szCs w:val="19"/>
        </w:rPr>
        <w:t xml:space="preserve">a. </w:t>
      </w:r>
      <w:r>
        <w:rPr>
          <w:rFonts w:hint="eastAsia" w:ascii="苹方 常规" w:hAnsi="苹方 常规" w:eastAsia="苹方 常规"/>
          <w:sz w:val="19"/>
          <w:szCs w:val="19"/>
        </w:rPr>
        <w:t>摄像机架设在通道正前方，正面抓拍人脸</w:t>
      </w:r>
    </w:p>
    <w:p>
      <w:pPr>
        <w:spacing w:line="400" w:lineRule="exact"/>
        <w:ind w:left="493" w:leftChars="235"/>
        <w:rPr>
          <w:rFonts w:ascii="苹方 常规" w:hAnsi="苹方 常规" w:eastAsia="苹方 常规"/>
          <w:sz w:val="19"/>
          <w:szCs w:val="19"/>
        </w:rPr>
      </w:pPr>
      <w:r>
        <w:rPr>
          <w:rFonts w:ascii="苹方 常规" w:hAnsi="苹方 常规" w:eastAsia="苹方 常规"/>
          <w:sz w:val="19"/>
          <w:szCs w:val="19"/>
        </w:rPr>
        <w:t xml:space="preserve">b. </w:t>
      </w:r>
      <w:r>
        <w:rPr>
          <w:rFonts w:hint="eastAsia" w:ascii="苹方 常规" w:hAnsi="苹方 常规" w:eastAsia="苹方 常规"/>
          <w:sz w:val="19"/>
          <w:szCs w:val="19"/>
        </w:rPr>
        <w:t>推荐摄像机的俯视角度0-</w:t>
      </w:r>
      <w:r>
        <w:rPr>
          <w:rFonts w:ascii="苹方 常规" w:hAnsi="苹方 常规" w:eastAsia="苹方 常规"/>
          <w:sz w:val="19"/>
          <w:szCs w:val="19"/>
        </w:rPr>
        <w:t>5</w:t>
      </w:r>
      <w:r>
        <w:rPr>
          <w:rFonts w:hint="eastAsia" w:ascii="苹方 常规" w:hAnsi="苹方 常规" w:eastAsia="苹方 常规"/>
          <w:sz w:val="19"/>
          <w:szCs w:val="19"/>
        </w:rPr>
        <w:t>度</w:t>
      </w:r>
    </w:p>
    <w:p>
      <w:pPr>
        <w:spacing w:line="400" w:lineRule="exact"/>
        <w:ind w:left="210" w:leftChars="100" w:firstLine="284"/>
        <w:rPr>
          <w:rFonts w:ascii="苹方 常规" w:hAnsi="苹方 常规" w:eastAsia="苹方 常规"/>
          <w:sz w:val="19"/>
          <w:szCs w:val="19"/>
        </w:rPr>
      </w:pPr>
      <w:r>
        <w:rPr>
          <w:rFonts w:ascii="苹方 常规" w:hAnsi="苹方 常规" w:eastAsia="苹方 常规"/>
          <w:sz w:val="19"/>
          <w:szCs w:val="19"/>
        </w:rPr>
        <w:t xml:space="preserve">c. </w:t>
      </w:r>
      <w:r>
        <w:rPr>
          <w:rFonts w:hint="eastAsia" w:ascii="苹方 常规" w:hAnsi="苹方 常规" w:eastAsia="苹方 常规"/>
          <w:sz w:val="19"/>
          <w:szCs w:val="19"/>
        </w:rPr>
        <w:t>为保证体温监测效果，设备与人员采集点的距离</w:t>
      </w:r>
      <w:r>
        <w:rPr>
          <w:rFonts w:ascii="苹方 常规" w:hAnsi="苹方 常规" w:eastAsia="苹方 常规"/>
          <w:sz w:val="19"/>
          <w:szCs w:val="19"/>
        </w:rPr>
        <w:t>0.5-2.5</w:t>
      </w:r>
      <w:r>
        <w:rPr>
          <w:rFonts w:hint="eastAsia" w:ascii="苹方 常规" w:hAnsi="苹方 常规" w:eastAsia="苹方 常规"/>
          <w:sz w:val="19"/>
          <w:szCs w:val="19"/>
        </w:rPr>
        <w:t>米。</w:t>
      </w:r>
    </w:p>
    <w:p>
      <w:pPr>
        <w:pStyle w:val="4"/>
        <w:spacing w:beforeLines="100" w:after="0" w:line="360" w:lineRule="exact"/>
        <w:ind w:left="210" w:leftChars="100"/>
        <w:rPr>
          <w:rFonts w:ascii="苹方 常规" w:hAnsi="苹方 常规" w:eastAsia="苹方 常规"/>
          <w:sz w:val="24"/>
          <w:szCs w:val="24"/>
        </w:rPr>
      </w:pPr>
      <w:r>
        <w:rPr>
          <w:rFonts w:ascii="苹方 常规" w:hAnsi="苹方 常规" w:eastAsia="苹方 常规"/>
          <w:sz w:val="24"/>
          <w:szCs w:val="24"/>
        </w:rPr>
        <w:t>(</w:t>
      </w:r>
      <w:r>
        <w:rPr>
          <w:rFonts w:hint="eastAsia" w:ascii="苹方 常规" w:hAnsi="苹方 常规" w:eastAsia="苹方 常规"/>
          <w:sz w:val="24"/>
          <w:szCs w:val="24"/>
        </w:rPr>
        <w:t>2</w:t>
      </w:r>
      <w:r>
        <w:rPr>
          <w:rFonts w:ascii="苹方 常规" w:hAnsi="苹方 常规" w:eastAsia="苹方 常规"/>
          <w:sz w:val="24"/>
          <w:szCs w:val="24"/>
        </w:rPr>
        <w:t xml:space="preserve">). </w:t>
      </w:r>
      <w:r>
        <w:rPr>
          <w:rFonts w:hint="eastAsia" w:ascii="苹方 常规" w:hAnsi="苹方 常规" w:eastAsia="苹方 常规"/>
          <w:sz w:val="24"/>
          <w:szCs w:val="24"/>
        </w:rPr>
        <w:t>安装环境规范</w:t>
      </w:r>
    </w:p>
    <w:p>
      <w:pPr>
        <w:spacing w:line="400" w:lineRule="exact"/>
        <w:ind w:left="715" w:leftChars="250" w:hanging="190" w:hangingChars="100"/>
        <w:rPr>
          <w:rFonts w:ascii="苹方 常规" w:hAnsi="苹方 常规" w:eastAsia="苹方 常规"/>
          <w:sz w:val="19"/>
          <w:szCs w:val="19"/>
        </w:rPr>
      </w:pPr>
      <w:r>
        <w:rPr>
          <w:rFonts w:ascii="苹方 常规" w:hAnsi="苹方 常规" w:eastAsia="苹方 常规"/>
          <w:sz w:val="19"/>
          <w:szCs w:val="19"/>
        </w:rPr>
        <w:t xml:space="preserve">a. </w:t>
      </w:r>
      <w:r>
        <w:rPr>
          <w:rFonts w:hint="eastAsia" w:ascii="苹方 常规" w:hAnsi="苹方 常规" w:eastAsia="苹方 常规"/>
          <w:sz w:val="19"/>
          <w:szCs w:val="19"/>
        </w:rPr>
        <w:t>光照要求：无逆光，面部无明显反光，光线均匀且无阴影。另外，为保证抓拍人脸时现场光照足够，建议增加照明设备，对人员脸部补光</w:t>
      </w:r>
    </w:p>
    <w:p>
      <w:pPr>
        <w:spacing w:line="400" w:lineRule="exact"/>
        <w:ind w:left="715" w:leftChars="250" w:hanging="190" w:hangingChars="100"/>
        <w:rPr>
          <w:rFonts w:ascii="苹方 常规" w:hAnsi="苹方 常规" w:eastAsia="苹方 常规"/>
          <w:sz w:val="19"/>
          <w:szCs w:val="19"/>
        </w:rPr>
      </w:pPr>
      <w:r>
        <w:rPr>
          <w:rFonts w:ascii="苹方 常规" w:hAnsi="苹方 常规" w:eastAsia="苹方 常规"/>
          <w:sz w:val="19"/>
          <w:szCs w:val="19"/>
        </w:rPr>
        <w:t xml:space="preserve">b. </w:t>
      </w:r>
      <w:r>
        <w:rPr>
          <w:rFonts w:hint="eastAsia" w:ascii="苹方 常规" w:hAnsi="苹方 常规" w:eastAsia="苹方 常规"/>
          <w:sz w:val="19"/>
          <w:szCs w:val="19"/>
        </w:rPr>
        <w:t>光线和风力要求：建议设备安装在室内，确保设备和人员之间无风，无阳光直射，避免吹风散热和阳光直射造成的测温过低或过高现象。</w:t>
      </w:r>
    </w:p>
    <w:p>
      <w:pPr>
        <w:spacing w:line="400" w:lineRule="exact"/>
        <w:rPr>
          <w:rFonts w:ascii="苹方 常规" w:hAnsi="苹方 常规" w:eastAsia="苹方 常规"/>
          <w:sz w:val="19"/>
          <w:szCs w:val="19"/>
        </w:rPr>
      </w:pPr>
    </w:p>
    <w:p>
      <w:pPr>
        <w:pStyle w:val="3"/>
        <w:spacing w:before="240"/>
        <w:ind w:left="420"/>
        <w:rPr>
          <w:rFonts w:ascii="苹方 常规" w:hAnsi="苹方 常规" w:eastAsia="苹方 常规"/>
        </w:rPr>
      </w:pPr>
      <w:bookmarkStart w:id="9" w:name="_Toc20590"/>
      <w:r>
        <w:rPr>
          <w:rFonts w:hint="eastAsia" w:ascii="苹方 常规" w:hAnsi="苹方 常规" w:eastAsia="苹方 常规"/>
        </w:rPr>
        <w:t>软件使用说明</w:t>
      </w:r>
      <w:bookmarkEnd w:id="9"/>
    </w:p>
    <w:p>
      <w:pPr>
        <w:spacing w:line="400" w:lineRule="exact"/>
        <w:ind w:left="420" w:leftChars="200" w:firstLine="380" w:firstLineChars="200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多人测温设备支持浏览器访问，以谷歌浏览器为例，基本访问步骤和参配置如下。</w:t>
      </w:r>
    </w:p>
    <w:p>
      <w:pPr>
        <w:spacing w:line="400" w:lineRule="exact"/>
        <w:ind w:left="420" w:leftChars="200" w:firstLine="380" w:firstLineChars="200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通过谷歌浏览器访问参数设置页面，在浏览器地址栏输入设备I</w:t>
      </w:r>
      <w:r>
        <w:rPr>
          <w:rFonts w:ascii="苹方 常规" w:hAnsi="苹方 常规" w:eastAsia="苹方 常规"/>
          <w:sz w:val="19"/>
          <w:szCs w:val="19"/>
        </w:rPr>
        <w:t>P+:8090</w:t>
      </w:r>
      <w:r>
        <w:rPr>
          <w:rFonts w:hint="eastAsia" w:ascii="苹方 常规" w:hAnsi="苹方 常规" w:eastAsia="苹方 常规"/>
          <w:sz w:val="19"/>
          <w:szCs w:val="19"/>
        </w:rPr>
        <w:t>，设备</w:t>
      </w:r>
      <w:r>
        <w:rPr>
          <w:rFonts w:ascii="苹方 常规" w:hAnsi="苹方 常规" w:eastAsia="苹方 常规"/>
          <w:sz w:val="19"/>
          <w:szCs w:val="19"/>
        </w:rPr>
        <w:t>IP</w:t>
      </w:r>
      <w:r>
        <w:rPr>
          <w:rFonts w:hint="eastAsia" w:ascii="苹方 常规" w:hAnsi="苹方 常规" w:eastAsia="苹方 常规"/>
          <w:sz w:val="19"/>
          <w:szCs w:val="19"/>
        </w:rPr>
        <w:t>为自动获取。</w:t>
      </w:r>
    </w:p>
    <w:p>
      <w:pPr>
        <w:adjustRightInd w:val="0"/>
        <w:snapToGrid w:val="0"/>
        <w:spacing w:line="360" w:lineRule="auto"/>
        <w:jc w:val="left"/>
        <w:outlineLvl w:val="0"/>
        <w:rPr>
          <w:rFonts w:ascii="苹方 常规" w:hAnsi="苹方 常规" w:eastAsia="苹方 常规" w:cs="苹方 常规"/>
          <w:b/>
          <w:bCs/>
          <w:sz w:val="32"/>
          <w:szCs w:val="32"/>
        </w:rPr>
      </w:pPr>
      <w:bookmarkStart w:id="10" w:name="_Toc30865"/>
      <w:r>
        <w:rPr>
          <w:rFonts w:hint="eastAsia" w:ascii="苹方 常规" w:hAnsi="苹方 常规" w:eastAsia="苹方 常规" w:cs="苹方 常规"/>
          <w:b/>
          <w:bCs/>
          <w:sz w:val="32"/>
          <w:szCs w:val="32"/>
        </w:rPr>
        <w:t>.产品装箱清单</w:t>
      </w:r>
      <w:bookmarkEnd w:id="10"/>
    </w:p>
    <w:tbl>
      <w:tblPr>
        <w:tblStyle w:val="43"/>
        <w:tblW w:w="0" w:type="auto"/>
        <w:tblInd w:w="0" w:type="dxa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2667"/>
        <w:gridCol w:w="1023"/>
        <w:gridCol w:w="1895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2" w:type="dxa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b w:val="0"/>
                <w:bCs w:val="0"/>
                <w:szCs w:val="21"/>
              </w:rPr>
            </w:pPr>
          </w:p>
        </w:tc>
        <w:tc>
          <w:tcPr>
            <w:tcW w:w="2667" w:type="dxa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b w:val="0"/>
                <w:bCs w:val="0"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Cs w:val="21"/>
              </w:rPr>
              <w:t>名称</w:t>
            </w:r>
          </w:p>
        </w:tc>
        <w:tc>
          <w:tcPr>
            <w:tcW w:w="1023" w:type="dxa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b w:val="0"/>
                <w:bCs w:val="0"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Cs w:val="21"/>
              </w:rPr>
              <w:t>单位</w:t>
            </w:r>
          </w:p>
        </w:tc>
        <w:tc>
          <w:tcPr>
            <w:tcW w:w="1895" w:type="dxa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b w:val="0"/>
                <w:bCs w:val="0"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Cs w:val="21"/>
              </w:rPr>
              <w:t>数量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b w:val="0"/>
                <w:bCs w:val="0"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Cs w:val="21"/>
              </w:rPr>
              <w:t>1</w:t>
            </w:r>
          </w:p>
        </w:tc>
        <w:tc>
          <w:tcPr>
            <w:tcW w:w="26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  <w:lang w:val="en-US" w:eastAsia="zh-CN"/>
              </w:rPr>
              <w:t>Y</w:t>
            </w:r>
            <w:bookmarkStart w:id="12" w:name="_GoBack"/>
            <w:bookmarkEnd w:id="12"/>
            <w:r>
              <w:rPr>
                <w:rFonts w:hint="eastAsia" w:ascii="等线" w:hAnsi="等线" w:eastAsia="等线" w:cs="Times New Roman"/>
                <w:szCs w:val="21"/>
                <w:lang w:val="en-US" w:eastAsia="zh-CN"/>
              </w:rPr>
              <w:t>KTCW</w:t>
            </w:r>
            <w:r>
              <w:rPr>
                <w:rFonts w:hint="eastAsia" w:ascii="等线" w:hAnsi="等线" w:eastAsia="等线" w:cs="Times New Roman"/>
                <w:szCs w:val="21"/>
              </w:rPr>
              <w:t>-001</w:t>
            </w:r>
          </w:p>
        </w:tc>
        <w:tc>
          <w:tcPr>
            <w:tcW w:w="1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台</w:t>
            </w: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1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b w:val="0"/>
                <w:bCs w:val="0"/>
                <w:szCs w:val="21"/>
              </w:rPr>
            </w:pPr>
            <w:r>
              <w:rPr>
                <w:rFonts w:ascii="等线" w:hAnsi="等线" w:eastAsia="等线" w:cs="Times New Roman"/>
                <w:b/>
                <w:bCs/>
                <w:szCs w:val="21"/>
              </w:rPr>
              <w:t>2</w:t>
            </w:r>
          </w:p>
        </w:tc>
        <w:tc>
          <w:tcPr>
            <w:tcW w:w="26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钥匙</w:t>
            </w:r>
          </w:p>
        </w:tc>
        <w:tc>
          <w:tcPr>
            <w:tcW w:w="1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套</w:t>
            </w: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2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b w:val="0"/>
                <w:bCs w:val="0"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Cs w:val="21"/>
              </w:rPr>
              <w:t>3</w:t>
            </w:r>
          </w:p>
        </w:tc>
        <w:tc>
          <w:tcPr>
            <w:tcW w:w="26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3芯电源插头线</w:t>
            </w:r>
          </w:p>
        </w:tc>
        <w:tc>
          <w:tcPr>
            <w:tcW w:w="1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条</w:t>
            </w: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1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b w:val="0"/>
                <w:bCs w:val="0"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Cs w:val="21"/>
              </w:rPr>
              <w:t>4</w:t>
            </w:r>
          </w:p>
        </w:tc>
        <w:tc>
          <w:tcPr>
            <w:tcW w:w="26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使用说明书</w:t>
            </w:r>
          </w:p>
        </w:tc>
        <w:tc>
          <w:tcPr>
            <w:tcW w:w="1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本</w:t>
            </w: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1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b w:val="0"/>
                <w:bCs w:val="0"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Cs w:val="21"/>
              </w:rPr>
              <w:t>5</w:t>
            </w:r>
          </w:p>
        </w:tc>
        <w:tc>
          <w:tcPr>
            <w:tcW w:w="26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产品合格证</w:t>
            </w:r>
          </w:p>
        </w:tc>
        <w:tc>
          <w:tcPr>
            <w:tcW w:w="1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张</w:t>
            </w: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1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b w:val="0"/>
                <w:bCs w:val="0"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Cs w:val="21"/>
              </w:rPr>
              <w:t>6</w:t>
            </w:r>
          </w:p>
        </w:tc>
        <w:tc>
          <w:tcPr>
            <w:tcW w:w="26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装箱清单</w:t>
            </w:r>
          </w:p>
        </w:tc>
        <w:tc>
          <w:tcPr>
            <w:tcW w:w="1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张</w:t>
            </w: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1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="等线" w:hAnsi="等线" w:eastAsia="等线" w:cs="等线"/>
          <w:b/>
          <w:sz w:val="13"/>
          <w:szCs w:val="13"/>
        </w:rPr>
      </w:pPr>
    </w:p>
    <w:p>
      <w:pPr>
        <w:spacing w:afterLines="100"/>
        <w:jc w:val="center"/>
        <w:rPr>
          <w:rFonts w:ascii="苹方 常规" w:hAnsi="苹方 常规" w:eastAsia="苹方 常规"/>
          <w:b/>
          <w:sz w:val="36"/>
          <w:szCs w:val="36"/>
        </w:rPr>
      </w:pPr>
    </w:p>
    <w:p>
      <w:pPr>
        <w:spacing w:afterLines="100"/>
        <w:jc w:val="center"/>
        <w:rPr>
          <w:rFonts w:ascii="苹方 常规" w:hAnsi="苹方 常规" w:eastAsia="苹方 常规"/>
          <w:b/>
          <w:sz w:val="36"/>
          <w:szCs w:val="36"/>
        </w:rPr>
      </w:pPr>
    </w:p>
    <w:p>
      <w:pPr>
        <w:spacing w:afterLines="100"/>
        <w:jc w:val="center"/>
        <w:rPr>
          <w:rFonts w:ascii="苹方 常规" w:hAnsi="苹方 常规" w:eastAsia="苹方 常规"/>
          <w:b/>
          <w:sz w:val="36"/>
          <w:szCs w:val="36"/>
        </w:rPr>
      </w:pPr>
    </w:p>
    <w:p>
      <w:pPr>
        <w:spacing w:afterLines="100"/>
        <w:rPr>
          <w:rFonts w:ascii="苹方 常规" w:hAnsi="苹方 常规" w:eastAsia="苹方 常规"/>
          <w:b/>
          <w:sz w:val="36"/>
          <w:szCs w:val="36"/>
        </w:rPr>
      </w:pPr>
    </w:p>
    <w:p>
      <w:pPr>
        <w:spacing w:afterLines="100"/>
        <w:jc w:val="center"/>
        <w:outlineLvl w:val="0"/>
        <w:rPr>
          <w:rFonts w:ascii="苹方 常规" w:hAnsi="苹方 常规" w:eastAsia="苹方 常规"/>
          <w:b/>
          <w:sz w:val="36"/>
          <w:szCs w:val="36"/>
        </w:rPr>
      </w:pPr>
      <w:bookmarkStart w:id="11" w:name="_Toc30347"/>
      <w:r>
        <w:rPr>
          <w:rFonts w:hint="eastAsia" w:ascii="苹方 常规" w:hAnsi="苹方 常规" w:eastAsia="苹方 常规"/>
          <w:b/>
          <w:sz w:val="36"/>
          <w:szCs w:val="36"/>
        </w:rPr>
        <w:t>安全使用注意事项</w:t>
      </w:r>
      <w:bookmarkEnd w:id="11"/>
    </w:p>
    <w:p>
      <w:pPr>
        <w:spacing w:afterLines="50" w:line="320" w:lineRule="exact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1</w:t>
      </w:r>
      <w:r>
        <w:rPr>
          <w:rFonts w:ascii="苹方 常规" w:hAnsi="苹方 常规" w:eastAsia="苹方 常规"/>
          <w:sz w:val="19"/>
          <w:szCs w:val="19"/>
        </w:rPr>
        <w:t xml:space="preserve">. </w:t>
      </w:r>
      <w:r>
        <w:rPr>
          <w:rFonts w:hint="eastAsia" w:ascii="苹方 常规" w:hAnsi="苹方 常规" w:eastAsia="苹方 常规"/>
          <w:sz w:val="19"/>
          <w:szCs w:val="19"/>
        </w:rPr>
        <w:t>产品安装使用过程中，必须严格遵守国家和使用地区的各项电气安全规定；</w:t>
      </w:r>
    </w:p>
    <w:p>
      <w:pPr>
        <w:spacing w:afterLines="50" w:line="320" w:lineRule="exact"/>
        <w:ind w:left="285" w:hanging="285" w:hangingChars="150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2</w:t>
      </w:r>
      <w:r>
        <w:rPr>
          <w:rFonts w:ascii="苹方 常规" w:hAnsi="苹方 常规" w:eastAsia="苹方 常规"/>
          <w:sz w:val="19"/>
          <w:szCs w:val="19"/>
        </w:rPr>
        <w:t xml:space="preserve">. </w:t>
      </w:r>
      <w:r>
        <w:rPr>
          <w:rFonts w:hint="eastAsia" w:ascii="苹方 常规" w:hAnsi="苹方 常规" w:eastAsia="苹方 常规"/>
          <w:sz w:val="19"/>
          <w:szCs w:val="19"/>
        </w:rPr>
        <w:t>请使用出厂提供的电源适配器，如需自配电源适配器具体要求参见产品参数表；</w:t>
      </w:r>
    </w:p>
    <w:p>
      <w:pPr>
        <w:spacing w:afterLines="50" w:line="320" w:lineRule="exact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3</w:t>
      </w:r>
      <w:r>
        <w:rPr>
          <w:rFonts w:ascii="苹方 常规" w:hAnsi="苹方 常规" w:eastAsia="苹方 常规"/>
          <w:sz w:val="19"/>
          <w:szCs w:val="19"/>
        </w:rPr>
        <w:t xml:space="preserve">. </w:t>
      </w:r>
      <w:r>
        <w:rPr>
          <w:rFonts w:hint="eastAsia" w:ascii="苹方 常规" w:hAnsi="苹方 常规" w:eastAsia="苹方 常规"/>
          <w:sz w:val="19"/>
          <w:szCs w:val="19"/>
        </w:rPr>
        <w:t>为减少火灾或电击危险，请勿让产品受到雨淋或受潮；</w:t>
      </w:r>
    </w:p>
    <w:p>
      <w:pPr>
        <w:spacing w:afterLines="50" w:line="320" w:lineRule="exact"/>
        <w:ind w:left="266" w:hanging="266" w:hangingChars="140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4</w:t>
      </w:r>
      <w:r>
        <w:rPr>
          <w:rFonts w:ascii="苹方 常规" w:hAnsi="苹方 常规" w:eastAsia="苹方 常规"/>
          <w:sz w:val="19"/>
          <w:szCs w:val="19"/>
        </w:rPr>
        <w:t xml:space="preserve">. </w:t>
      </w:r>
      <w:r>
        <w:rPr>
          <w:rFonts w:hint="eastAsia" w:ascii="苹方 常规" w:hAnsi="苹方 常规" w:eastAsia="苹方 常规"/>
          <w:sz w:val="19"/>
          <w:szCs w:val="19"/>
        </w:rPr>
        <w:t>不要以任何方式拆卸或修改产品（对未经认可的修改或维修导致的问题，本公司不承担任何责任）；</w:t>
      </w:r>
    </w:p>
    <w:p>
      <w:pPr>
        <w:spacing w:afterLines="50" w:line="320" w:lineRule="exact"/>
        <w:ind w:left="247" w:hanging="247" w:hangingChars="130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5</w:t>
      </w:r>
      <w:r>
        <w:rPr>
          <w:rFonts w:ascii="苹方 常规" w:hAnsi="苹方 常规" w:eastAsia="苹方 常规"/>
          <w:sz w:val="19"/>
          <w:szCs w:val="19"/>
        </w:rPr>
        <w:t xml:space="preserve">. </w:t>
      </w:r>
      <w:r>
        <w:rPr>
          <w:rFonts w:hint="eastAsia" w:ascii="苹方 常规" w:hAnsi="苹方 常规" w:eastAsia="苹方 常规"/>
          <w:sz w:val="19"/>
          <w:szCs w:val="19"/>
        </w:rPr>
        <w:t>请不要使物体摔落到产品上或者大力震动摄像机，使产品远离存在磁场干扰的地点，避免将产品安装到表面震动或容易受到冲击的地方（忽视此项可能会损坏摄像机）；</w:t>
      </w:r>
    </w:p>
    <w:p>
      <w:pPr>
        <w:spacing w:afterLines="50" w:line="320" w:lineRule="exact"/>
        <w:ind w:left="247" w:hanging="247" w:hangingChars="130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6</w:t>
      </w:r>
      <w:r>
        <w:rPr>
          <w:rFonts w:ascii="苹方 常规" w:hAnsi="苹方 常规" w:eastAsia="苹方 常规"/>
          <w:sz w:val="19"/>
          <w:szCs w:val="19"/>
        </w:rPr>
        <w:t xml:space="preserve">. </w:t>
      </w:r>
      <w:r>
        <w:rPr>
          <w:rFonts w:hint="eastAsia" w:ascii="苹方 常规" w:hAnsi="苹方 常规" w:eastAsia="苹方 常规"/>
          <w:sz w:val="19"/>
          <w:szCs w:val="19"/>
        </w:rPr>
        <w:t>请勿在寒冷、高温、有粉尘、有腐蚀性气体、盐碱或者高湿度的环境下使用本产品，具体温、湿度要求参见产品的参数表；</w:t>
      </w:r>
    </w:p>
    <w:p>
      <w:pPr>
        <w:spacing w:afterLines="50" w:line="320" w:lineRule="exact"/>
        <w:ind w:left="247" w:hanging="247" w:hangingChars="130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7</w:t>
      </w:r>
      <w:r>
        <w:rPr>
          <w:rFonts w:ascii="苹方 常规" w:hAnsi="苹方 常规" w:eastAsia="苹方 常规"/>
          <w:sz w:val="19"/>
          <w:szCs w:val="19"/>
        </w:rPr>
        <w:t xml:space="preserve">. </w:t>
      </w:r>
      <w:r>
        <w:rPr>
          <w:rFonts w:hint="eastAsia" w:ascii="苹方 常规" w:hAnsi="苹方 常规" w:eastAsia="苹方 常规"/>
          <w:sz w:val="19"/>
          <w:szCs w:val="19"/>
        </w:rPr>
        <w:t>请不要将产品的镜头瞄准强光源，如太阳、白炽灯等高温目标，否则会造成镜头或热成像探测器损坏；</w:t>
      </w:r>
    </w:p>
    <w:p>
      <w:pPr>
        <w:spacing w:afterLines="50" w:line="320" w:lineRule="exact"/>
        <w:ind w:left="152" w:hanging="152" w:hangingChars="80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8</w:t>
      </w:r>
      <w:r>
        <w:rPr>
          <w:rFonts w:ascii="苹方 常规" w:hAnsi="苹方 常规" w:eastAsia="苹方 常规"/>
          <w:sz w:val="19"/>
          <w:szCs w:val="19"/>
        </w:rPr>
        <w:t xml:space="preserve">. </w:t>
      </w:r>
      <w:r>
        <w:rPr>
          <w:rFonts w:hint="eastAsia" w:ascii="苹方 常规" w:hAnsi="苹方 常规" w:eastAsia="苹方 常规"/>
          <w:sz w:val="19"/>
          <w:szCs w:val="19"/>
        </w:rPr>
        <w:t>避免将设备放在阳光直射地点、通风不良的地点，或加热器、暖气等热源附近（忽视此项可能会造成火灾风险）；</w:t>
      </w:r>
    </w:p>
    <w:p>
      <w:pPr>
        <w:spacing w:afterLines="50" w:line="320" w:lineRule="exact"/>
        <w:ind w:left="266" w:hanging="266" w:hangingChars="140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9</w:t>
      </w:r>
      <w:r>
        <w:rPr>
          <w:rFonts w:ascii="苹方 常规" w:hAnsi="苹方 常规" w:eastAsia="苹方 常规"/>
          <w:sz w:val="19"/>
          <w:szCs w:val="19"/>
        </w:rPr>
        <w:t xml:space="preserve">. </w:t>
      </w:r>
      <w:r>
        <w:rPr>
          <w:rFonts w:hint="eastAsia" w:ascii="苹方 常规" w:hAnsi="苹方 常规" w:eastAsia="苹方 常规"/>
          <w:sz w:val="19"/>
          <w:szCs w:val="19"/>
        </w:rPr>
        <w:t>清洁摄像机镜头或者保护罩时，请使用足够柔软的干布或其他替代品擦拭内外表面，切勿使用碱性清洁剂洗涤，避免硬物刮伤镜头或者外壳；</w:t>
      </w:r>
    </w:p>
    <w:p>
      <w:pPr>
        <w:spacing w:afterLines="50" w:line="320" w:lineRule="exact"/>
        <w:ind w:left="380" w:hanging="380" w:hangingChars="200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1</w:t>
      </w:r>
      <w:r>
        <w:rPr>
          <w:rFonts w:ascii="苹方 常规" w:hAnsi="苹方 常规" w:eastAsia="苹方 常规"/>
          <w:sz w:val="19"/>
          <w:szCs w:val="19"/>
        </w:rPr>
        <w:t xml:space="preserve">0. </w:t>
      </w:r>
      <w:r>
        <w:rPr>
          <w:rFonts w:hint="eastAsia" w:ascii="苹方 常规" w:hAnsi="苹方 常规" w:eastAsia="苹方 常规"/>
          <w:sz w:val="19"/>
          <w:szCs w:val="19"/>
        </w:rPr>
        <w:t>请妥善保存设备的全部原包装材料，以便出现问题时，使用原包装材料将设备包装好。</w:t>
      </w:r>
    </w:p>
    <w:p>
      <w:pPr>
        <w:rPr>
          <w:rFonts w:ascii="苹方 常规" w:hAnsi="苹方 常规" w:eastAsia="苹方 常规"/>
        </w:rPr>
      </w:pPr>
    </w:p>
    <w:sectPr>
      <w:footerReference r:id="rId3" w:type="default"/>
      <w:pgSz w:w="8392" w:h="11907"/>
      <w:pgMar w:top="1134" w:right="851" w:bottom="1134" w:left="851" w:header="851" w:footer="56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苹方 常规">
    <w:altName w:val="微软雅黑"/>
    <w:panose1 w:val="00000000000000000000"/>
    <w:charset w:val="86"/>
    <w:family w:val="swiss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EE28C5"/>
    <w:multiLevelType w:val="multilevel"/>
    <w:tmpl w:val="3CEE28C5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CF33A8"/>
    <w:multiLevelType w:val="multilevel"/>
    <w:tmpl w:val="55CF33A8"/>
    <w:lvl w:ilvl="0" w:tentative="0">
      <w:start w:val="1"/>
      <w:numFmt w:val="decimal"/>
      <w:pStyle w:val="3"/>
      <w:lvlText w:val="%1."/>
      <w:lvlJc w:val="left"/>
      <w:pPr>
        <w:ind w:left="2122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EB4040"/>
    <w:multiLevelType w:val="multilevel"/>
    <w:tmpl w:val="7EEB404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  <w:color w:val="3F3F3F" w:themeColor="text1" w:themeTint="BF"/>
        <w:spacing w:val="-2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20AD"/>
    <w:rsid w:val="000017D6"/>
    <w:rsid w:val="00004D76"/>
    <w:rsid w:val="00011046"/>
    <w:rsid w:val="000126C0"/>
    <w:rsid w:val="00013FF6"/>
    <w:rsid w:val="00021A40"/>
    <w:rsid w:val="00023502"/>
    <w:rsid w:val="00024483"/>
    <w:rsid w:val="00027AD8"/>
    <w:rsid w:val="000401F5"/>
    <w:rsid w:val="00041069"/>
    <w:rsid w:val="0004341C"/>
    <w:rsid w:val="00046C5B"/>
    <w:rsid w:val="000566FE"/>
    <w:rsid w:val="00062BF2"/>
    <w:rsid w:val="00065373"/>
    <w:rsid w:val="00065692"/>
    <w:rsid w:val="00084ADE"/>
    <w:rsid w:val="0009674B"/>
    <w:rsid w:val="000A0B79"/>
    <w:rsid w:val="000A4925"/>
    <w:rsid w:val="000C6317"/>
    <w:rsid w:val="000D4362"/>
    <w:rsid w:val="000E0ACC"/>
    <w:rsid w:val="000E0C29"/>
    <w:rsid w:val="000F4307"/>
    <w:rsid w:val="001047B3"/>
    <w:rsid w:val="00104ADE"/>
    <w:rsid w:val="0011163B"/>
    <w:rsid w:val="00111E00"/>
    <w:rsid w:val="00112876"/>
    <w:rsid w:val="00122826"/>
    <w:rsid w:val="00144504"/>
    <w:rsid w:val="001651AD"/>
    <w:rsid w:val="001652A6"/>
    <w:rsid w:val="00174281"/>
    <w:rsid w:val="001779BC"/>
    <w:rsid w:val="00180D01"/>
    <w:rsid w:val="00192BAC"/>
    <w:rsid w:val="00192C1E"/>
    <w:rsid w:val="00194CA2"/>
    <w:rsid w:val="001A330B"/>
    <w:rsid w:val="001C2049"/>
    <w:rsid w:val="001C23E5"/>
    <w:rsid w:val="001D26D5"/>
    <w:rsid w:val="001D5D24"/>
    <w:rsid w:val="001E7B81"/>
    <w:rsid w:val="001E7D2B"/>
    <w:rsid w:val="001F63E6"/>
    <w:rsid w:val="00201A2A"/>
    <w:rsid w:val="00212123"/>
    <w:rsid w:val="00212801"/>
    <w:rsid w:val="00214FB3"/>
    <w:rsid w:val="0021501D"/>
    <w:rsid w:val="00215512"/>
    <w:rsid w:val="0022147E"/>
    <w:rsid w:val="00241ED1"/>
    <w:rsid w:val="00242141"/>
    <w:rsid w:val="002427D5"/>
    <w:rsid w:val="0024765D"/>
    <w:rsid w:val="00252945"/>
    <w:rsid w:val="00253A26"/>
    <w:rsid w:val="00263FB9"/>
    <w:rsid w:val="00267340"/>
    <w:rsid w:val="00273D76"/>
    <w:rsid w:val="0028702D"/>
    <w:rsid w:val="002925C8"/>
    <w:rsid w:val="00294B85"/>
    <w:rsid w:val="002A1C4A"/>
    <w:rsid w:val="002B1366"/>
    <w:rsid w:val="002B6E73"/>
    <w:rsid w:val="002C2B86"/>
    <w:rsid w:val="002C6902"/>
    <w:rsid w:val="002E2668"/>
    <w:rsid w:val="002E4943"/>
    <w:rsid w:val="002E60EF"/>
    <w:rsid w:val="002F2444"/>
    <w:rsid w:val="002F2BD8"/>
    <w:rsid w:val="002F5AB2"/>
    <w:rsid w:val="002F6F16"/>
    <w:rsid w:val="003111DC"/>
    <w:rsid w:val="003113A0"/>
    <w:rsid w:val="003138A6"/>
    <w:rsid w:val="00313E4C"/>
    <w:rsid w:val="00315E02"/>
    <w:rsid w:val="00315F6B"/>
    <w:rsid w:val="00316C9C"/>
    <w:rsid w:val="003171D8"/>
    <w:rsid w:val="003178AF"/>
    <w:rsid w:val="00324DA3"/>
    <w:rsid w:val="0032562B"/>
    <w:rsid w:val="00341C79"/>
    <w:rsid w:val="00344A0D"/>
    <w:rsid w:val="0035032B"/>
    <w:rsid w:val="0035188A"/>
    <w:rsid w:val="003637D9"/>
    <w:rsid w:val="00365CBC"/>
    <w:rsid w:val="0036640B"/>
    <w:rsid w:val="00373C1E"/>
    <w:rsid w:val="0038791C"/>
    <w:rsid w:val="003A2585"/>
    <w:rsid w:val="003B2E46"/>
    <w:rsid w:val="003C719F"/>
    <w:rsid w:val="003D1000"/>
    <w:rsid w:val="003D1D40"/>
    <w:rsid w:val="003D2D94"/>
    <w:rsid w:val="003D5494"/>
    <w:rsid w:val="003E05F6"/>
    <w:rsid w:val="003E2289"/>
    <w:rsid w:val="003E49C6"/>
    <w:rsid w:val="003E6731"/>
    <w:rsid w:val="003E71FB"/>
    <w:rsid w:val="003F3892"/>
    <w:rsid w:val="003F7296"/>
    <w:rsid w:val="00403B95"/>
    <w:rsid w:val="00412BA6"/>
    <w:rsid w:val="00417749"/>
    <w:rsid w:val="00420581"/>
    <w:rsid w:val="00421332"/>
    <w:rsid w:val="00425175"/>
    <w:rsid w:val="00430B05"/>
    <w:rsid w:val="004322B1"/>
    <w:rsid w:val="004345B5"/>
    <w:rsid w:val="0044333C"/>
    <w:rsid w:val="00446DD6"/>
    <w:rsid w:val="00455A04"/>
    <w:rsid w:val="0045785A"/>
    <w:rsid w:val="00460655"/>
    <w:rsid w:val="004809B9"/>
    <w:rsid w:val="00480CE1"/>
    <w:rsid w:val="00486693"/>
    <w:rsid w:val="00492B5F"/>
    <w:rsid w:val="004A1847"/>
    <w:rsid w:val="004A6017"/>
    <w:rsid w:val="004B1951"/>
    <w:rsid w:val="004B4CCE"/>
    <w:rsid w:val="004B5D82"/>
    <w:rsid w:val="004C3EAB"/>
    <w:rsid w:val="004C5DB0"/>
    <w:rsid w:val="004D0026"/>
    <w:rsid w:val="004E0E63"/>
    <w:rsid w:val="004F2AAE"/>
    <w:rsid w:val="00505026"/>
    <w:rsid w:val="00507512"/>
    <w:rsid w:val="00511211"/>
    <w:rsid w:val="00517A4B"/>
    <w:rsid w:val="005220D5"/>
    <w:rsid w:val="005270FC"/>
    <w:rsid w:val="00530CE7"/>
    <w:rsid w:val="005335EF"/>
    <w:rsid w:val="00534A6F"/>
    <w:rsid w:val="00542CB1"/>
    <w:rsid w:val="00545C0E"/>
    <w:rsid w:val="00547AFA"/>
    <w:rsid w:val="00564A17"/>
    <w:rsid w:val="005674B6"/>
    <w:rsid w:val="00567D43"/>
    <w:rsid w:val="00572A9B"/>
    <w:rsid w:val="00572B1F"/>
    <w:rsid w:val="00582444"/>
    <w:rsid w:val="0058616D"/>
    <w:rsid w:val="005A04F7"/>
    <w:rsid w:val="005B583E"/>
    <w:rsid w:val="005B59F1"/>
    <w:rsid w:val="005C0E2E"/>
    <w:rsid w:val="005C3042"/>
    <w:rsid w:val="005C5828"/>
    <w:rsid w:val="005C5E7B"/>
    <w:rsid w:val="005D1429"/>
    <w:rsid w:val="005D1E62"/>
    <w:rsid w:val="005D2731"/>
    <w:rsid w:val="005D4673"/>
    <w:rsid w:val="005F04AD"/>
    <w:rsid w:val="005F1320"/>
    <w:rsid w:val="005F16FE"/>
    <w:rsid w:val="005F5D91"/>
    <w:rsid w:val="005F7DFC"/>
    <w:rsid w:val="00600FE4"/>
    <w:rsid w:val="00607FCE"/>
    <w:rsid w:val="00610F20"/>
    <w:rsid w:val="00611254"/>
    <w:rsid w:val="00613DCC"/>
    <w:rsid w:val="00614BA5"/>
    <w:rsid w:val="00614D93"/>
    <w:rsid w:val="00622BF4"/>
    <w:rsid w:val="00623A73"/>
    <w:rsid w:val="00625BFA"/>
    <w:rsid w:val="0063638B"/>
    <w:rsid w:val="00637261"/>
    <w:rsid w:val="006430C4"/>
    <w:rsid w:val="00645A07"/>
    <w:rsid w:val="006465C7"/>
    <w:rsid w:val="0065252B"/>
    <w:rsid w:val="00653091"/>
    <w:rsid w:val="00662CE4"/>
    <w:rsid w:val="00667099"/>
    <w:rsid w:val="00671463"/>
    <w:rsid w:val="00672D18"/>
    <w:rsid w:val="0067339B"/>
    <w:rsid w:val="00674FC8"/>
    <w:rsid w:val="006879D3"/>
    <w:rsid w:val="00690CB2"/>
    <w:rsid w:val="00693BC3"/>
    <w:rsid w:val="00695138"/>
    <w:rsid w:val="006A068D"/>
    <w:rsid w:val="006A3B0E"/>
    <w:rsid w:val="006A44C0"/>
    <w:rsid w:val="006B07AB"/>
    <w:rsid w:val="006B0BBB"/>
    <w:rsid w:val="006B5A08"/>
    <w:rsid w:val="006C2B7A"/>
    <w:rsid w:val="006C4D21"/>
    <w:rsid w:val="006D7ECE"/>
    <w:rsid w:val="006E201D"/>
    <w:rsid w:val="006F6A5B"/>
    <w:rsid w:val="00714DA5"/>
    <w:rsid w:val="0072046C"/>
    <w:rsid w:val="00721F2E"/>
    <w:rsid w:val="0072376B"/>
    <w:rsid w:val="007241A8"/>
    <w:rsid w:val="00724988"/>
    <w:rsid w:val="00726EDF"/>
    <w:rsid w:val="0073129D"/>
    <w:rsid w:val="00733DA0"/>
    <w:rsid w:val="007365CE"/>
    <w:rsid w:val="007373F9"/>
    <w:rsid w:val="00756B78"/>
    <w:rsid w:val="00780C25"/>
    <w:rsid w:val="007860A0"/>
    <w:rsid w:val="00794A15"/>
    <w:rsid w:val="007A0C29"/>
    <w:rsid w:val="007A157E"/>
    <w:rsid w:val="007B0D01"/>
    <w:rsid w:val="007C072F"/>
    <w:rsid w:val="007C7324"/>
    <w:rsid w:val="007C7A76"/>
    <w:rsid w:val="007D1DFE"/>
    <w:rsid w:val="007D231D"/>
    <w:rsid w:val="007D600F"/>
    <w:rsid w:val="007E2EFE"/>
    <w:rsid w:val="007E35C7"/>
    <w:rsid w:val="007E4374"/>
    <w:rsid w:val="007E5506"/>
    <w:rsid w:val="007F4BB6"/>
    <w:rsid w:val="00802D57"/>
    <w:rsid w:val="00810DF5"/>
    <w:rsid w:val="00816124"/>
    <w:rsid w:val="008300B6"/>
    <w:rsid w:val="00835BF0"/>
    <w:rsid w:val="00842E80"/>
    <w:rsid w:val="008454AB"/>
    <w:rsid w:val="0085028B"/>
    <w:rsid w:val="008554ED"/>
    <w:rsid w:val="00857302"/>
    <w:rsid w:val="008624E2"/>
    <w:rsid w:val="0087046D"/>
    <w:rsid w:val="00871D7C"/>
    <w:rsid w:val="008860C6"/>
    <w:rsid w:val="00892470"/>
    <w:rsid w:val="00894896"/>
    <w:rsid w:val="00896E96"/>
    <w:rsid w:val="008A0F00"/>
    <w:rsid w:val="008A3642"/>
    <w:rsid w:val="008A60CC"/>
    <w:rsid w:val="008A6667"/>
    <w:rsid w:val="008A7C55"/>
    <w:rsid w:val="008B680B"/>
    <w:rsid w:val="008C15E1"/>
    <w:rsid w:val="008D3C50"/>
    <w:rsid w:val="008F06AE"/>
    <w:rsid w:val="008F1C50"/>
    <w:rsid w:val="008F22EF"/>
    <w:rsid w:val="008F32D8"/>
    <w:rsid w:val="008F75EA"/>
    <w:rsid w:val="009026C1"/>
    <w:rsid w:val="00904A9A"/>
    <w:rsid w:val="009064F7"/>
    <w:rsid w:val="009068C8"/>
    <w:rsid w:val="0093550A"/>
    <w:rsid w:val="0095484A"/>
    <w:rsid w:val="00955429"/>
    <w:rsid w:val="0095769F"/>
    <w:rsid w:val="0096246B"/>
    <w:rsid w:val="00965B1E"/>
    <w:rsid w:val="009745E9"/>
    <w:rsid w:val="00976105"/>
    <w:rsid w:val="0098091D"/>
    <w:rsid w:val="00983188"/>
    <w:rsid w:val="009920EE"/>
    <w:rsid w:val="009949AA"/>
    <w:rsid w:val="00995708"/>
    <w:rsid w:val="009B2E3C"/>
    <w:rsid w:val="009C2557"/>
    <w:rsid w:val="009C498C"/>
    <w:rsid w:val="009C4BAA"/>
    <w:rsid w:val="009E26FF"/>
    <w:rsid w:val="009E5010"/>
    <w:rsid w:val="009E57EA"/>
    <w:rsid w:val="009E5C3C"/>
    <w:rsid w:val="009F1C3F"/>
    <w:rsid w:val="009F3C45"/>
    <w:rsid w:val="00A039B8"/>
    <w:rsid w:val="00A06541"/>
    <w:rsid w:val="00A06A21"/>
    <w:rsid w:val="00A1009E"/>
    <w:rsid w:val="00A13B1F"/>
    <w:rsid w:val="00A20869"/>
    <w:rsid w:val="00A22F79"/>
    <w:rsid w:val="00A257C8"/>
    <w:rsid w:val="00A33877"/>
    <w:rsid w:val="00A36ACD"/>
    <w:rsid w:val="00A44648"/>
    <w:rsid w:val="00A44E7C"/>
    <w:rsid w:val="00A46F2D"/>
    <w:rsid w:val="00A4790C"/>
    <w:rsid w:val="00A523E7"/>
    <w:rsid w:val="00A54A9B"/>
    <w:rsid w:val="00A57DF5"/>
    <w:rsid w:val="00A674DD"/>
    <w:rsid w:val="00A7031C"/>
    <w:rsid w:val="00A705F9"/>
    <w:rsid w:val="00A718D0"/>
    <w:rsid w:val="00A75C44"/>
    <w:rsid w:val="00A958E7"/>
    <w:rsid w:val="00AA121E"/>
    <w:rsid w:val="00AA52E4"/>
    <w:rsid w:val="00AA5D72"/>
    <w:rsid w:val="00AC2258"/>
    <w:rsid w:val="00AC273E"/>
    <w:rsid w:val="00AC6729"/>
    <w:rsid w:val="00AD0DCE"/>
    <w:rsid w:val="00AD127D"/>
    <w:rsid w:val="00AD1E07"/>
    <w:rsid w:val="00AD450A"/>
    <w:rsid w:val="00AF3B4D"/>
    <w:rsid w:val="00B200F6"/>
    <w:rsid w:val="00B23E68"/>
    <w:rsid w:val="00B2589B"/>
    <w:rsid w:val="00B3130F"/>
    <w:rsid w:val="00B35995"/>
    <w:rsid w:val="00B434BD"/>
    <w:rsid w:val="00B5287A"/>
    <w:rsid w:val="00B52CF4"/>
    <w:rsid w:val="00B57AEF"/>
    <w:rsid w:val="00B70173"/>
    <w:rsid w:val="00B71E0A"/>
    <w:rsid w:val="00B87E40"/>
    <w:rsid w:val="00B90E9F"/>
    <w:rsid w:val="00B93930"/>
    <w:rsid w:val="00B951E2"/>
    <w:rsid w:val="00B979F3"/>
    <w:rsid w:val="00BA2545"/>
    <w:rsid w:val="00BA5FAE"/>
    <w:rsid w:val="00BB342B"/>
    <w:rsid w:val="00BC32D7"/>
    <w:rsid w:val="00BE4186"/>
    <w:rsid w:val="00BE54CA"/>
    <w:rsid w:val="00BF1D6C"/>
    <w:rsid w:val="00BF43F5"/>
    <w:rsid w:val="00BF770F"/>
    <w:rsid w:val="00BF7C8B"/>
    <w:rsid w:val="00C04347"/>
    <w:rsid w:val="00C0693B"/>
    <w:rsid w:val="00C1008E"/>
    <w:rsid w:val="00C20028"/>
    <w:rsid w:val="00C2628C"/>
    <w:rsid w:val="00C3167A"/>
    <w:rsid w:val="00C319D1"/>
    <w:rsid w:val="00C32786"/>
    <w:rsid w:val="00C33BF5"/>
    <w:rsid w:val="00C3791F"/>
    <w:rsid w:val="00C4629A"/>
    <w:rsid w:val="00C52EE6"/>
    <w:rsid w:val="00C53E4F"/>
    <w:rsid w:val="00C54C0F"/>
    <w:rsid w:val="00C552A8"/>
    <w:rsid w:val="00C654E0"/>
    <w:rsid w:val="00C75B15"/>
    <w:rsid w:val="00C75C61"/>
    <w:rsid w:val="00C75D07"/>
    <w:rsid w:val="00C7621B"/>
    <w:rsid w:val="00C77114"/>
    <w:rsid w:val="00C808A3"/>
    <w:rsid w:val="00C8320B"/>
    <w:rsid w:val="00C838F8"/>
    <w:rsid w:val="00C90420"/>
    <w:rsid w:val="00C935AB"/>
    <w:rsid w:val="00C94E24"/>
    <w:rsid w:val="00C96D55"/>
    <w:rsid w:val="00CA0A8E"/>
    <w:rsid w:val="00CA1648"/>
    <w:rsid w:val="00CA1A8D"/>
    <w:rsid w:val="00CA64A5"/>
    <w:rsid w:val="00CB0FA1"/>
    <w:rsid w:val="00CC5729"/>
    <w:rsid w:val="00CD68B9"/>
    <w:rsid w:val="00CD6BF3"/>
    <w:rsid w:val="00CD7298"/>
    <w:rsid w:val="00CF423A"/>
    <w:rsid w:val="00D0768C"/>
    <w:rsid w:val="00D10B6C"/>
    <w:rsid w:val="00D12CF5"/>
    <w:rsid w:val="00D17A96"/>
    <w:rsid w:val="00D17CC9"/>
    <w:rsid w:val="00D21BFE"/>
    <w:rsid w:val="00D220CA"/>
    <w:rsid w:val="00D30470"/>
    <w:rsid w:val="00D31F42"/>
    <w:rsid w:val="00D3735E"/>
    <w:rsid w:val="00D51DEF"/>
    <w:rsid w:val="00D54EDD"/>
    <w:rsid w:val="00D70CDD"/>
    <w:rsid w:val="00D825EF"/>
    <w:rsid w:val="00DA3399"/>
    <w:rsid w:val="00DA7F37"/>
    <w:rsid w:val="00DB0D95"/>
    <w:rsid w:val="00DB7B7E"/>
    <w:rsid w:val="00DC0E81"/>
    <w:rsid w:val="00DC1A08"/>
    <w:rsid w:val="00DC1A84"/>
    <w:rsid w:val="00DC1F41"/>
    <w:rsid w:val="00DC43DF"/>
    <w:rsid w:val="00DC6B4E"/>
    <w:rsid w:val="00DE0130"/>
    <w:rsid w:val="00DE2379"/>
    <w:rsid w:val="00E12093"/>
    <w:rsid w:val="00E127D1"/>
    <w:rsid w:val="00E12BDA"/>
    <w:rsid w:val="00E15B33"/>
    <w:rsid w:val="00E25784"/>
    <w:rsid w:val="00E272A9"/>
    <w:rsid w:val="00E27F8E"/>
    <w:rsid w:val="00E3013C"/>
    <w:rsid w:val="00E31541"/>
    <w:rsid w:val="00E41EFC"/>
    <w:rsid w:val="00E43D71"/>
    <w:rsid w:val="00E5232F"/>
    <w:rsid w:val="00E540AB"/>
    <w:rsid w:val="00E56211"/>
    <w:rsid w:val="00E573A2"/>
    <w:rsid w:val="00E634C5"/>
    <w:rsid w:val="00E90823"/>
    <w:rsid w:val="00E91734"/>
    <w:rsid w:val="00E952A0"/>
    <w:rsid w:val="00EA3225"/>
    <w:rsid w:val="00EA44EC"/>
    <w:rsid w:val="00EA7B7B"/>
    <w:rsid w:val="00EB1A77"/>
    <w:rsid w:val="00EC7681"/>
    <w:rsid w:val="00ED4119"/>
    <w:rsid w:val="00EE00CB"/>
    <w:rsid w:val="00EE2CD8"/>
    <w:rsid w:val="00EE4A9F"/>
    <w:rsid w:val="00EF56D3"/>
    <w:rsid w:val="00F036A3"/>
    <w:rsid w:val="00F13111"/>
    <w:rsid w:val="00F1744E"/>
    <w:rsid w:val="00F23C44"/>
    <w:rsid w:val="00F25DFA"/>
    <w:rsid w:val="00F276EE"/>
    <w:rsid w:val="00F3702F"/>
    <w:rsid w:val="00F416BF"/>
    <w:rsid w:val="00F420AD"/>
    <w:rsid w:val="00F45E7F"/>
    <w:rsid w:val="00F47903"/>
    <w:rsid w:val="00F50F83"/>
    <w:rsid w:val="00F511F4"/>
    <w:rsid w:val="00F56715"/>
    <w:rsid w:val="00F670EB"/>
    <w:rsid w:val="00F71813"/>
    <w:rsid w:val="00F92C7C"/>
    <w:rsid w:val="00F936A9"/>
    <w:rsid w:val="00F96360"/>
    <w:rsid w:val="00FA0479"/>
    <w:rsid w:val="00FB272E"/>
    <w:rsid w:val="00FC2569"/>
    <w:rsid w:val="00FC6D87"/>
    <w:rsid w:val="00FD61AB"/>
    <w:rsid w:val="00FD70E7"/>
    <w:rsid w:val="00FD72F6"/>
    <w:rsid w:val="00FE3CFA"/>
    <w:rsid w:val="00FE3F21"/>
    <w:rsid w:val="0CF940E6"/>
    <w:rsid w:val="122933E4"/>
    <w:rsid w:val="15EB2139"/>
    <w:rsid w:val="189D7B8A"/>
    <w:rsid w:val="19347BC8"/>
    <w:rsid w:val="218439B0"/>
    <w:rsid w:val="3FBE0547"/>
    <w:rsid w:val="5BE918AC"/>
    <w:rsid w:val="60371B2C"/>
    <w:rsid w:val="6BB54503"/>
    <w:rsid w:val="7A96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line="578" w:lineRule="auto"/>
      <w:ind w:right="100" w:rightChars="100"/>
      <w:jc w:val="lef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numPr>
        <w:ilvl w:val="0"/>
        <w:numId w:val="2"/>
      </w:numPr>
      <w:spacing w:before="120" w:line="415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5">
    <w:name w:val="heading 4"/>
    <w:basedOn w:val="1"/>
    <w:next w:val="1"/>
    <w:link w:val="4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Subtitle"/>
    <w:basedOn w:val="1"/>
    <w:next w:val="1"/>
    <w:link w:val="23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3">
    <w:name w:val="Title"/>
    <w:basedOn w:val="1"/>
    <w:next w:val="1"/>
    <w:link w:val="24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FollowedHyperlink"/>
    <w:basedOn w:val="16"/>
    <w:semiHidden/>
    <w:unhideWhenUsed/>
    <w:qFormat/>
    <w:uiPriority w:val="99"/>
    <w:rPr>
      <w:color w:val="954F72" w:themeColor="followedHyperlink"/>
      <w:u w:val="single"/>
    </w:rPr>
  </w:style>
  <w:style w:type="character" w:styleId="18">
    <w:name w:val="Hyperlink"/>
    <w:basedOn w:val="16"/>
    <w:unhideWhenUsed/>
    <w:qFormat/>
    <w:uiPriority w:val="99"/>
    <w:rPr>
      <w:color w:val="0563C1" w:themeColor="hyperlink"/>
      <w:u w:val="single"/>
    </w:rPr>
  </w:style>
  <w:style w:type="character" w:customStyle="1" w:styleId="19">
    <w:name w:val="标题 1 Char"/>
    <w:basedOn w:val="16"/>
    <w:link w:val="2"/>
    <w:qFormat/>
    <w:uiPriority w:val="9"/>
    <w:rPr>
      <w:b/>
      <w:bCs/>
      <w:kern w:val="44"/>
      <w:sz w:val="44"/>
      <w:szCs w:val="4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标题 2 Char"/>
    <w:basedOn w:val="16"/>
    <w:link w:val="3"/>
    <w:uiPriority w:val="9"/>
    <w:rPr>
      <w:rFonts w:asciiTheme="majorHAnsi" w:hAnsiTheme="majorHAnsi" w:cstheme="majorBidi"/>
      <w:b/>
      <w:bCs/>
      <w:sz w:val="32"/>
      <w:szCs w:val="32"/>
    </w:rPr>
  </w:style>
  <w:style w:type="paragraph" w:styleId="2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3">
    <w:name w:val="副标题 Char"/>
    <w:basedOn w:val="16"/>
    <w:link w:val="11"/>
    <w:qFormat/>
    <w:uiPriority w:val="11"/>
    <w:rPr>
      <w:b/>
      <w:bCs/>
      <w:kern w:val="28"/>
      <w:sz w:val="32"/>
      <w:szCs w:val="32"/>
    </w:rPr>
  </w:style>
  <w:style w:type="character" w:customStyle="1" w:styleId="24">
    <w:name w:val="标题 Char"/>
    <w:basedOn w:val="16"/>
    <w:link w:val="1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5">
    <w:name w:val="标题 3 Char"/>
    <w:basedOn w:val="16"/>
    <w:link w:val="4"/>
    <w:qFormat/>
    <w:uiPriority w:val="9"/>
    <w:rPr>
      <w:b/>
      <w:bCs/>
      <w:sz w:val="28"/>
      <w:szCs w:val="32"/>
    </w:rPr>
  </w:style>
  <w:style w:type="character" w:customStyle="1" w:styleId="26">
    <w:name w:val="批注框文本 Char"/>
    <w:basedOn w:val="16"/>
    <w:link w:val="7"/>
    <w:semiHidden/>
    <w:qFormat/>
    <w:uiPriority w:val="99"/>
    <w:rPr>
      <w:sz w:val="18"/>
      <w:szCs w:val="18"/>
    </w:rPr>
  </w:style>
  <w:style w:type="table" w:customStyle="1" w:styleId="27">
    <w:name w:val="Plain Table 1"/>
    <w:basedOn w:val="1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8">
    <w:name w:val="Grid Table Light"/>
    <w:basedOn w:val="1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Plain Table 2"/>
    <w:basedOn w:val="14"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30">
    <w:name w:val="Plain Table 3"/>
    <w:basedOn w:val="14"/>
    <w:qFormat/>
    <w:uiPriority w:val="43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31">
    <w:name w:val="Plain Table 4"/>
    <w:basedOn w:val="14"/>
    <w:qFormat/>
    <w:uiPriority w:val="44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2">
    <w:name w:val="Plain Table 5"/>
    <w:basedOn w:val="14"/>
    <w:qFormat/>
    <w:uiPriority w:val="45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3">
    <w:name w:val="Grid Table 1 Light"/>
    <w:basedOn w:val="14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34">
    <w:name w:val="页眉 Char"/>
    <w:basedOn w:val="16"/>
    <w:link w:val="9"/>
    <w:qFormat/>
    <w:uiPriority w:val="99"/>
    <w:rPr>
      <w:sz w:val="18"/>
      <w:szCs w:val="18"/>
    </w:rPr>
  </w:style>
  <w:style w:type="character" w:customStyle="1" w:styleId="35">
    <w:name w:val="页脚 Char"/>
    <w:basedOn w:val="16"/>
    <w:link w:val="8"/>
    <w:qFormat/>
    <w:uiPriority w:val="99"/>
    <w:rPr>
      <w:sz w:val="18"/>
      <w:szCs w:val="18"/>
    </w:rPr>
  </w:style>
  <w:style w:type="paragraph" w:customStyle="1" w:styleId="36">
    <w:name w:val="小括号"/>
    <w:basedOn w:val="1"/>
    <w:link w:val="38"/>
    <w:qFormat/>
    <w:uiPriority w:val="0"/>
    <w:pPr>
      <w:spacing w:beforeLines="100"/>
    </w:pPr>
    <w:rPr>
      <w:rFonts w:ascii="苹方 常规" w:hAnsi="苹方 常规" w:eastAsia="苹方 常规"/>
      <w:b/>
      <w:sz w:val="32"/>
      <w:szCs w:val="32"/>
    </w:rPr>
  </w:style>
  <w:style w:type="paragraph" w:customStyle="1" w:styleId="37">
    <w:name w:val="二级标题"/>
    <w:basedOn w:val="3"/>
    <w:link w:val="40"/>
    <w:qFormat/>
    <w:uiPriority w:val="0"/>
    <w:rPr>
      <w:rFonts w:ascii="苹方 常规" w:hAnsi="苹方 常规" w:eastAsia="苹方 常规"/>
    </w:rPr>
  </w:style>
  <w:style w:type="character" w:customStyle="1" w:styleId="38">
    <w:name w:val="小括号 字符"/>
    <w:basedOn w:val="16"/>
    <w:link w:val="36"/>
    <w:qFormat/>
    <w:uiPriority w:val="0"/>
    <w:rPr>
      <w:rFonts w:ascii="苹方 常规" w:hAnsi="苹方 常规" w:eastAsia="苹方 常规"/>
      <w:b/>
      <w:sz w:val="32"/>
      <w:szCs w:val="32"/>
    </w:rPr>
  </w:style>
  <w:style w:type="paragraph" w:customStyle="1" w:styleId="39">
    <w:name w:val="列出段落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40">
    <w:name w:val="二级标题 字符"/>
    <w:basedOn w:val="21"/>
    <w:link w:val="37"/>
    <w:qFormat/>
    <w:uiPriority w:val="0"/>
    <w:rPr>
      <w:rFonts w:ascii="苹方 常规" w:hAnsi="苹方 常规" w:eastAsia="苹方 常规" w:cstheme="majorBidi"/>
      <w:sz w:val="32"/>
      <w:szCs w:val="32"/>
    </w:rPr>
  </w:style>
  <w:style w:type="character" w:customStyle="1" w:styleId="41">
    <w:name w:val="标题 4 Char"/>
    <w:basedOn w:val="16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42">
    <w:name w:val="TOC 标题1"/>
    <w:basedOn w:val="2"/>
    <w:next w:val="1"/>
    <w:unhideWhenUsed/>
    <w:qFormat/>
    <w:uiPriority w:val="39"/>
    <w:pPr>
      <w:widowControl/>
      <w:numPr>
        <w:numId w:val="0"/>
      </w:numPr>
      <w:spacing w:before="240" w:line="259" w:lineRule="auto"/>
      <w:ind w:right="0" w:rightChars="0"/>
      <w:outlineLvl w:val="9"/>
    </w:pPr>
    <w:rPr>
      <w:rFonts w:asciiTheme="majorHAnsi" w:hAnsiTheme="majorHAnsi" w:eastAsiaTheme="majorEastAsia" w:cstheme="majorBidi"/>
      <w:b w:val="0"/>
      <w:bCs w:val="0"/>
      <w:color w:val="2E75B5" w:themeColor="accent1" w:themeShade="BF"/>
      <w:kern w:val="0"/>
      <w:sz w:val="32"/>
      <w:szCs w:val="32"/>
    </w:rPr>
  </w:style>
  <w:style w:type="table" w:customStyle="1" w:styleId="43">
    <w:name w:val="网格表 1 浅色1"/>
    <w:basedOn w:val="14"/>
    <w:qFormat/>
    <w:uiPriority w:val="46"/>
    <w:rPr>
      <w:rFonts w:ascii="Times New Roman" w:hAnsi="Times New Roman" w:eastAsia="宋体" w:cs="Times New Roman"/>
    </w:r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44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6FBB15-E73E-4384-9213-B161D1BBE4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575</Words>
  <Characters>3282</Characters>
  <Lines>27</Lines>
  <Paragraphs>7</Paragraphs>
  <TotalTime>9</TotalTime>
  <ScaleCrop>false</ScaleCrop>
  <LinksUpToDate>false</LinksUpToDate>
  <CharactersWithSpaces>3850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2021-01-26T06:58:00Z</dcterms:created>
  <dc:creator>Administrator</dc:creator>
  <cp:lastModifiedBy>H  L  P</cp:lastModifiedBy>
  <cp:lastPrinted>2021-06-10T06:15:00Z</cp:lastPrinted>
  <dcterms:modified xsi:type="dcterms:W3CDTF">2022-03-19T06:19:02Z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832600E4EC8E459188A5A5BAC8D84F55</vt:lpwstr>
  </property>
</Properties>
</file>